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F865E" w14:textId="77777777" w:rsidR="00065DA2" w:rsidRDefault="00065DA2">
      <w:pPr>
        <w:rPr>
          <w:rFonts w:ascii="Arial" w:hAnsi="Arial" w:cs="Arial"/>
          <w:b/>
          <w:sz w:val="32"/>
          <w:szCs w:val="32"/>
        </w:rPr>
      </w:pPr>
    </w:p>
    <w:p w14:paraId="1A55EF41" w14:textId="59B74B30" w:rsidR="00D35AC4" w:rsidRPr="00834C75" w:rsidRDefault="00B92CE0">
      <w:pPr>
        <w:rPr>
          <w:rFonts w:ascii="Arial" w:hAnsi="Arial" w:cs="Arial"/>
          <w:b/>
          <w:sz w:val="28"/>
          <w:szCs w:val="28"/>
        </w:rPr>
      </w:pPr>
      <w:r>
        <w:rPr>
          <w:rFonts w:ascii="Arial" w:hAnsi="Arial" w:cs="Arial"/>
          <w:b/>
          <w:sz w:val="28"/>
          <w:szCs w:val="28"/>
        </w:rPr>
        <w:t xml:space="preserve">Incidental Use and </w:t>
      </w:r>
      <w:r w:rsidR="007C5305">
        <w:rPr>
          <w:rFonts w:ascii="Arial" w:hAnsi="Arial" w:cs="Arial"/>
          <w:b/>
          <w:sz w:val="28"/>
          <w:szCs w:val="28"/>
        </w:rPr>
        <w:t>Ancillary Accommodation</w:t>
      </w:r>
    </w:p>
    <w:p w14:paraId="6DC8626F" w14:textId="77777777" w:rsidR="007E183D" w:rsidRPr="001E4B32" w:rsidRDefault="007E183D">
      <w:pPr>
        <w:rPr>
          <w:rFonts w:ascii="Arial" w:hAnsi="Arial" w:cs="Arial"/>
          <w:b/>
          <w:sz w:val="26"/>
          <w:szCs w:val="26"/>
        </w:rPr>
      </w:pPr>
      <w:r w:rsidRPr="001E4B32">
        <w:rPr>
          <w:rFonts w:ascii="Arial" w:hAnsi="Arial" w:cs="Arial"/>
          <w:b/>
          <w:sz w:val="26"/>
          <w:szCs w:val="26"/>
        </w:rPr>
        <w:t>Purpose</w:t>
      </w:r>
    </w:p>
    <w:p w14:paraId="2A511B33" w14:textId="00E6EA5D" w:rsidR="004129DB" w:rsidRPr="00834C75" w:rsidRDefault="007E183D">
      <w:pPr>
        <w:rPr>
          <w:rFonts w:ascii="Arial" w:hAnsi="Arial" w:cs="Arial"/>
          <w:sz w:val="24"/>
          <w:szCs w:val="24"/>
        </w:rPr>
      </w:pPr>
      <w:r>
        <w:rPr>
          <w:rFonts w:ascii="Arial" w:hAnsi="Arial" w:cs="Arial"/>
          <w:sz w:val="24"/>
          <w:szCs w:val="24"/>
        </w:rPr>
        <w:t xml:space="preserve">The purpose of this guidance is to </w:t>
      </w:r>
      <w:r w:rsidR="00697116">
        <w:rPr>
          <w:rFonts w:ascii="Arial" w:hAnsi="Arial" w:cs="Arial"/>
          <w:sz w:val="24"/>
          <w:szCs w:val="24"/>
        </w:rPr>
        <w:t xml:space="preserve">set out </w:t>
      </w:r>
      <w:r w:rsidR="00003665">
        <w:rPr>
          <w:rFonts w:ascii="Arial" w:hAnsi="Arial" w:cs="Arial"/>
          <w:sz w:val="24"/>
          <w:szCs w:val="24"/>
        </w:rPr>
        <w:t>wh</w:t>
      </w:r>
      <w:r w:rsidR="007C5305">
        <w:rPr>
          <w:rFonts w:ascii="Arial" w:hAnsi="Arial" w:cs="Arial"/>
          <w:sz w:val="24"/>
          <w:szCs w:val="24"/>
        </w:rPr>
        <w:t xml:space="preserve">at the Council considers to constitute </w:t>
      </w:r>
      <w:r w:rsidR="00B92CE0">
        <w:rPr>
          <w:rFonts w:ascii="Arial" w:hAnsi="Arial" w:cs="Arial"/>
          <w:sz w:val="24"/>
          <w:szCs w:val="24"/>
        </w:rPr>
        <w:t xml:space="preserve">both incidental use and </w:t>
      </w:r>
      <w:r w:rsidR="007C5305">
        <w:rPr>
          <w:rFonts w:ascii="Arial" w:hAnsi="Arial" w:cs="Arial"/>
          <w:sz w:val="24"/>
          <w:szCs w:val="24"/>
        </w:rPr>
        <w:t>ancillary accommodation</w:t>
      </w:r>
      <w:r w:rsidR="00B92CE0">
        <w:rPr>
          <w:rFonts w:ascii="Arial" w:hAnsi="Arial" w:cs="Arial"/>
          <w:sz w:val="24"/>
          <w:szCs w:val="24"/>
        </w:rPr>
        <w:t xml:space="preserve">.  Additionally, it sets out </w:t>
      </w:r>
      <w:r w:rsidR="007C5305">
        <w:rPr>
          <w:rFonts w:ascii="Arial" w:hAnsi="Arial" w:cs="Arial"/>
          <w:sz w:val="24"/>
          <w:szCs w:val="24"/>
        </w:rPr>
        <w:t>when planning permission is required</w:t>
      </w:r>
      <w:r w:rsidR="00B92CE0">
        <w:rPr>
          <w:rFonts w:ascii="Arial" w:hAnsi="Arial" w:cs="Arial"/>
          <w:sz w:val="24"/>
          <w:szCs w:val="24"/>
        </w:rPr>
        <w:t xml:space="preserve"> for ancillary accommodation.</w:t>
      </w:r>
    </w:p>
    <w:p w14:paraId="5AFB4A0A" w14:textId="77777777" w:rsidR="007E183D" w:rsidRPr="00003665" w:rsidRDefault="007E183D">
      <w:pPr>
        <w:rPr>
          <w:rFonts w:ascii="Arial" w:hAnsi="Arial" w:cs="Arial"/>
          <w:b/>
          <w:sz w:val="24"/>
          <w:szCs w:val="24"/>
        </w:rPr>
      </w:pPr>
      <w:r w:rsidRPr="00003665">
        <w:rPr>
          <w:rFonts w:ascii="Arial" w:hAnsi="Arial" w:cs="Arial"/>
          <w:b/>
          <w:sz w:val="24"/>
          <w:szCs w:val="24"/>
        </w:rPr>
        <w:t>Legislative Background</w:t>
      </w:r>
    </w:p>
    <w:p w14:paraId="25D40161" w14:textId="4E104578" w:rsidR="00DB0F6F" w:rsidRDefault="00DB0F6F" w:rsidP="00697116">
      <w:pPr>
        <w:spacing w:after="0" w:line="276" w:lineRule="auto"/>
        <w:rPr>
          <w:rFonts w:ascii="Arial" w:hAnsi="Arial" w:cs="Arial"/>
          <w:sz w:val="24"/>
          <w:szCs w:val="24"/>
        </w:rPr>
      </w:pPr>
      <w:r>
        <w:rPr>
          <w:rFonts w:ascii="Arial" w:hAnsi="Arial" w:cs="Arial"/>
          <w:sz w:val="24"/>
          <w:szCs w:val="24"/>
        </w:rPr>
        <w:t>Planning legislation, specifically Section 23 of the Planning Act (Northern Ireland) 2011, sets out what constitutes development and essentially, where planning permission is required.</w:t>
      </w:r>
    </w:p>
    <w:p w14:paraId="7AF23BED" w14:textId="77777777" w:rsidR="00DB0F6F" w:rsidRDefault="00DB0F6F" w:rsidP="00697116">
      <w:pPr>
        <w:spacing w:after="0" w:line="276" w:lineRule="auto"/>
        <w:rPr>
          <w:rFonts w:ascii="Arial" w:hAnsi="Arial" w:cs="Arial"/>
          <w:sz w:val="24"/>
          <w:szCs w:val="24"/>
        </w:rPr>
      </w:pPr>
    </w:p>
    <w:p w14:paraId="3B9A0A39" w14:textId="742B39EB" w:rsidR="007C5305" w:rsidRDefault="00092C4E" w:rsidP="00697116">
      <w:pPr>
        <w:spacing w:after="0" w:line="276" w:lineRule="auto"/>
        <w:rPr>
          <w:rFonts w:ascii="Arial" w:hAnsi="Arial" w:cs="Arial"/>
          <w:sz w:val="24"/>
          <w:szCs w:val="24"/>
        </w:rPr>
      </w:pPr>
      <w:r>
        <w:rPr>
          <w:rFonts w:ascii="Arial" w:hAnsi="Arial" w:cs="Arial"/>
          <w:sz w:val="24"/>
          <w:szCs w:val="24"/>
        </w:rPr>
        <w:t>T</w:t>
      </w:r>
      <w:r w:rsidR="007C5305">
        <w:rPr>
          <w:rFonts w:ascii="Arial" w:hAnsi="Arial" w:cs="Arial"/>
          <w:sz w:val="24"/>
          <w:szCs w:val="24"/>
        </w:rPr>
        <w:t xml:space="preserve">he Planning (General Permitted Development) Order (Northern Ireland) 2015 sets out what development can be undertaken without the need for planning permission.  This is known as “permitted development”.  </w:t>
      </w:r>
      <w:r w:rsidR="00B92CE0">
        <w:rPr>
          <w:rFonts w:ascii="Arial" w:hAnsi="Arial" w:cs="Arial"/>
          <w:sz w:val="24"/>
          <w:szCs w:val="24"/>
        </w:rPr>
        <w:t xml:space="preserve">The relevant assessment is undertaken under Part 1, Class A which relates to the enlargement, improvement or other alteration of a dwellinghouse.  </w:t>
      </w:r>
      <w:r w:rsidR="007C5305">
        <w:rPr>
          <w:rFonts w:ascii="Arial" w:hAnsi="Arial" w:cs="Arial"/>
          <w:sz w:val="24"/>
          <w:szCs w:val="24"/>
        </w:rPr>
        <w:t xml:space="preserve">While Part 1 of the Schedule </w:t>
      </w:r>
      <w:r w:rsidR="00A036EE">
        <w:rPr>
          <w:rFonts w:ascii="Arial" w:hAnsi="Arial" w:cs="Arial"/>
          <w:sz w:val="24"/>
          <w:szCs w:val="24"/>
        </w:rPr>
        <w:t>“</w:t>
      </w:r>
      <w:r w:rsidR="007C5305">
        <w:rPr>
          <w:rFonts w:ascii="Arial" w:hAnsi="Arial" w:cs="Arial"/>
          <w:sz w:val="24"/>
          <w:szCs w:val="24"/>
        </w:rPr>
        <w:t>Development within the Curtilage of a Dwellinghouse</w:t>
      </w:r>
      <w:r w:rsidR="00A036EE">
        <w:rPr>
          <w:rFonts w:ascii="Arial" w:hAnsi="Arial" w:cs="Arial"/>
          <w:sz w:val="24"/>
          <w:szCs w:val="24"/>
        </w:rPr>
        <w:t>”</w:t>
      </w:r>
      <w:r w:rsidR="007C5305">
        <w:rPr>
          <w:rFonts w:ascii="Arial" w:hAnsi="Arial" w:cs="Arial"/>
          <w:sz w:val="24"/>
          <w:szCs w:val="24"/>
        </w:rPr>
        <w:t xml:space="preserve"> refers to “incidental” use, no reference is made to “ancillary” use.  They are </w:t>
      </w:r>
      <w:r w:rsidR="00FF0B2D">
        <w:rPr>
          <w:rFonts w:ascii="Arial" w:hAnsi="Arial" w:cs="Arial"/>
          <w:sz w:val="24"/>
          <w:szCs w:val="24"/>
        </w:rPr>
        <w:t>distinct</w:t>
      </w:r>
      <w:r w:rsidR="007C5305">
        <w:rPr>
          <w:rFonts w:ascii="Arial" w:hAnsi="Arial" w:cs="Arial"/>
          <w:sz w:val="24"/>
          <w:szCs w:val="24"/>
        </w:rPr>
        <w:t xml:space="preserve"> concepts which cannot be conflated.</w:t>
      </w:r>
    </w:p>
    <w:p w14:paraId="53A986B5" w14:textId="77777777" w:rsidR="00D82322" w:rsidRDefault="00D82322" w:rsidP="00697116">
      <w:pPr>
        <w:spacing w:after="0" w:line="276" w:lineRule="auto"/>
        <w:rPr>
          <w:rFonts w:ascii="Arial" w:hAnsi="Arial" w:cs="Arial"/>
          <w:sz w:val="24"/>
          <w:szCs w:val="24"/>
        </w:rPr>
      </w:pPr>
    </w:p>
    <w:p w14:paraId="75197066" w14:textId="77777777" w:rsidR="00D82322" w:rsidRDefault="00D82322" w:rsidP="00D82322">
      <w:pPr>
        <w:spacing w:line="276" w:lineRule="auto"/>
        <w:rPr>
          <w:rFonts w:ascii="Arial" w:hAnsi="Arial" w:cs="Arial"/>
          <w:b/>
          <w:bCs/>
          <w:sz w:val="24"/>
          <w:szCs w:val="24"/>
        </w:rPr>
      </w:pPr>
      <w:r>
        <w:rPr>
          <w:rFonts w:ascii="Arial" w:hAnsi="Arial" w:cs="Arial"/>
          <w:b/>
          <w:bCs/>
          <w:sz w:val="24"/>
          <w:szCs w:val="24"/>
        </w:rPr>
        <w:t>Incidental Use</w:t>
      </w:r>
    </w:p>
    <w:p w14:paraId="6C0516F3" w14:textId="72FAA068" w:rsidR="00D82322" w:rsidRDefault="00D82322" w:rsidP="00D82322">
      <w:pPr>
        <w:spacing w:line="276" w:lineRule="auto"/>
        <w:rPr>
          <w:rFonts w:ascii="Arial" w:hAnsi="Arial" w:cs="Arial"/>
          <w:sz w:val="24"/>
          <w:szCs w:val="24"/>
        </w:rPr>
      </w:pPr>
      <w:r>
        <w:rPr>
          <w:rFonts w:ascii="Arial" w:hAnsi="Arial" w:cs="Arial"/>
          <w:sz w:val="24"/>
          <w:szCs w:val="24"/>
        </w:rPr>
        <w:t>Incidental use of a building is an</w:t>
      </w:r>
      <w:r w:rsidR="00FF0B2D">
        <w:rPr>
          <w:rFonts w:ascii="Arial" w:hAnsi="Arial" w:cs="Arial"/>
          <w:sz w:val="24"/>
          <w:szCs w:val="24"/>
        </w:rPr>
        <w:t xml:space="preserve"> additional</w:t>
      </w:r>
      <w:r>
        <w:rPr>
          <w:rFonts w:ascii="Arial" w:hAnsi="Arial" w:cs="Arial"/>
          <w:sz w:val="24"/>
          <w:szCs w:val="24"/>
        </w:rPr>
        <w:t xml:space="preserve"> activity which does not affect the primary use of the main house as a home.</w:t>
      </w:r>
    </w:p>
    <w:p w14:paraId="4C86CE61" w14:textId="703AC53F" w:rsidR="00D82322" w:rsidRDefault="008947CC" w:rsidP="00D82322">
      <w:pPr>
        <w:spacing w:line="276" w:lineRule="auto"/>
        <w:rPr>
          <w:rFonts w:ascii="Arial" w:hAnsi="Arial" w:cs="Arial"/>
          <w:sz w:val="24"/>
          <w:szCs w:val="24"/>
        </w:rPr>
      </w:pPr>
      <w:r>
        <w:rPr>
          <w:rFonts w:ascii="Arial" w:hAnsi="Arial" w:cs="Arial"/>
          <w:sz w:val="24"/>
          <w:szCs w:val="24"/>
        </w:rPr>
        <w:t>For example, i</w:t>
      </w:r>
      <w:r w:rsidR="00D82322">
        <w:rPr>
          <w:rFonts w:ascii="Arial" w:hAnsi="Arial" w:cs="Arial"/>
          <w:sz w:val="24"/>
          <w:szCs w:val="24"/>
        </w:rPr>
        <w:t xml:space="preserve">ncidental uses of a typical domestic garage </w:t>
      </w:r>
      <w:proofErr w:type="gramStart"/>
      <w:r w:rsidR="00D82322">
        <w:rPr>
          <w:rFonts w:ascii="Arial" w:hAnsi="Arial" w:cs="Arial"/>
          <w:sz w:val="24"/>
          <w:szCs w:val="24"/>
        </w:rPr>
        <w:t>include:</w:t>
      </w:r>
      <w:proofErr w:type="gramEnd"/>
      <w:r w:rsidR="00D82322">
        <w:rPr>
          <w:rFonts w:ascii="Arial" w:hAnsi="Arial" w:cs="Arial"/>
          <w:sz w:val="24"/>
          <w:szCs w:val="24"/>
        </w:rPr>
        <w:t xml:space="preserve"> accommodation of motor vehicles; storage of solid fuels; storage of garden and DIY tools; </w:t>
      </w:r>
      <w:r w:rsidR="001D6A5A">
        <w:rPr>
          <w:rFonts w:ascii="Arial" w:hAnsi="Arial" w:cs="Arial"/>
          <w:sz w:val="24"/>
          <w:szCs w:val="24"/>
        </w:rPr>
        <w:t xml:space="preserve">storage of pet paraphernalia; </w:t>
      </w:r>
      <w:r w:rsidR="00D82322">
        <w:rPr>
          <w:rFonts w:ascii="Arial" w:hAnsi="Arial" w:cs="Arial"/>
          <w:sz w:val="24"/>
          <w:szCs w:val="24"/>
        </w:rPr>
        <w:t xml:space="preserve">storage of summer garden furniture; storage of children’s toys and; use for </w:t>
      </w:r>
      <w:r w:rsidR="00B50849">
        <w:rPr>
          <w:rFonts w:ascii="Arial" w:hAnsi="Arial" w:cs="Arial"/>
          <w:sz w:val="24"/>
          <w:szCs w:val="24"/>
        </w:rPr>
        <w:t xml:space="preserve">domestic </w:t>
      </w:r>
      <w:r w:rsidR="00D82322">
        <w:rPr>
          <w:rFonts w:ascii="Arial" w:hAnsi="Arial" w:cs="Arial"/>
          <w:sz w:val="24"/>
          <w:szCs w:val="24"/>
        </w:rPr>
        <w:t>laundry purposes.</w:t>
      </w:r>
    </w:p>
    <w:p w14:paraId="59C92F28" w14:textId="2BC8A37B" w:rsidR="00D82322" w:rsidRDefault="00D82322" w:rsidP="00D82322">
      <w:pPr>
        <w:spacing w:line="276" w:lineRule="auto"/>
        <w:rPr>
          <w:rFonts w:ascii="Arial" w:hAnsi="Arial" w:cs="Arial"/>
          <w:sz w:val="24"/>
          <w:szCs w:val="24"/>
        </w:rPr>
      </w:pPr>
      <w:r>
        <w:rPr>
          <w:rFonts w:ascii="Arial" w:hAnsi="Arial" w:cs="Arial"/>
          <w:sz w:val="24"/>
          <w:szCs w:val="24"/>
        </w:rPr>
        <w:t>Other outbuildings, not designed as a typical garage, could be used for similar incidental purposes.</w:t>
      </w:r>
      <w:r w:rsidR="00B50849">
        <w:rPr>
          <w:rFonts w:ascii="Arial" w:hAnsi="Arial" w:cs="Arial"/>
          <w:sz w:val="24"/>
          <w:szCs w:val="24"/>
        </w:rPr>
        <w:t xml:space="preserve">  Other </w:t>
      </w:r>
      <w:r w:rsidR="005E2337">
        <w:rPr>
          <w:rFonts w:ascii="Arial" w:hAnsi="Arial" w:cs="Arial"/>
          <w:sz w:val="24"/>
          <w:szCs w:val="24"/>
        </w:rPr>
        <w:t xml:space="preserve">incidental </w:t>
      </w:r>
      <w:r w:rsidR="00B50849">
        <w:rPr>
          <w:rFonts w:ascii="Arial" w:hAnsi="Arial" w:cs="Arial"/>
          <w:sz w:val="24"/>
          <w:szCs w:val="24"/>
        </w:rPr>
        <w:t>uses include as a recreational summer house or garden room.</w:t>
      </w:r>
    </w:p>
    <w:p w14:paraId="2078C460" w14:textId="766240E0" w:rsidR="00D82322" w:rsidRPr="00D82322" w:rsidRDefault="00B50849" w:rsidP="00D82322">
      <w:pPr>
        <w:spacing w:line="276" w:lineRule="auto"/>
        <w:rPr>
          <w:rFonts w:ascii="Arial" w:hAnsi="Arial" w:cs="Arial"/>
          <w:b/>
          <w:bCs/>
          <w:sz w:val="24"/>
          <w:szCs w:val="24"/>
        </w:rPr>
      </w:pPr>
      <w:r>
        <w:rPr>
          <w:rFonts w:ascii="Arial" w:hAnsi="Arial" w:cs="Arial"/>
          <w:sz w:val="24"/>
          <w:szCs w:val="24"/>
        </w:rPr>
        <w:t>To be incidental, the scale and number of buildings within the dwelling curtilage or plot must be proportionate to the main house.</w:t>
      </w:r>
    </w:p>
    <w:p w14:paraId="7AB7030E" w14:textId="77777777" w:rsidR="005E2337" w:rsidRDefault="00B50849" w:rsidP="005E2337">
      <w:pPr>
        <w:spacing w:line="276" w:lineRule="auto"/>
        <w:rPr>
          <w:rFonts w:ascii="Arial" w:hAnsi="Arial" w:cs="Arial"/>
          <w:b/>
          <w:bCs/>
          <w:sz w:val="24"/>
          <w:szCs w:val="24"/>
        </w:rPr>
      </w:pPr>
      <w:r>
        <w:rPr>
          <w:rFonts w:ascii="Arial" w:hAnsi="Arial" w:cs="Arial"/>
          <w:b/>
          <w:bCs/>
          <w:sz w:val="24"/>
          <w:szCs w:val="24"/>
        </w:rPr>
        <w:t>Ancillary Use</w:t>
      </w:r>
    </w:p>
    <w:p w14:paraId="27FB326D" w14:textId="0B1333CD" w:rsidR="00D82322" w:rsidRPr="005E2337" w:rsidRDefault="00D82322" w:rsidP="005E2337">
      <w:pPr>
        <w:spacing w:line="276" w:lineRule="auto"/>
        <w:rPr>
          <w:rFonts w:ascii="Arial" w:hAnsi="Arial" w:cs="Arial"/>
          <w:b/>
          <w:bCs/>
          <w:sz w:val="24"/>
          <w:szCs w:val="24"/>
        </w:rPr>
      </w:pPr>
      <w:r>
        <w:rPr>
          <w:rFonts w:ascii="Arial" w:hAnsi="Arial" w:cs="Arial"/>
          <w:sz w:val="24"/>
          <w:szCs w:val="24"/>
        </w:rPr>
        <w:t>Ancillary use is linked to the main residential use of the dwelling and relies on the main dwelling for its function.  Accordingly, an ancillary use cannot exist on its own.</w:t>
      </w:r>
    </w:p>
    <w:p w14:paraId="50F989C1" w14:textId="77777777" w:rsidR="00DB0F6F" w:rsidRDefault="00DB0F6F" w:rsidP="00697116">
      <w:pPr>
        <w:spacing w:after="0" w:line="276" w:lineRule="auto"/>
        <w:rPr>
          <w:rFonts w:ascii="Arial" w:hAnsi="Arial" w:cs="Arial"/>
          <w:sz w:val="24"/>
          <w:szCs w:val="24"/>
        </w:rPr>
      </w:pPr>
    </w:p>
    <w:p w14:paraId="342BA79A" w14:textId="77777777" w:rsidR="00DB0F6F" w:rsidRDefault="00DB0F6F" w:rsidP="00697116">
      <w:pPr>
        <w:spacing w:after="0" w:line="276" w:lineRule="auto"/>
        <w:rPr>
          <w:rFonts w:ascii="Arial" w:hAnsi="Arial" w:cs="Arial"/>
          <w:sz w:val="24"/>
          <w:szCs w:val="24"/>
        </w:rPr>
      </w:pPr>
    </w:p>
    <w:p w14:paraId="2F546383" w14:textId="10269B97" w:rsidR="00A036EE" w:rsidRDefault="00B50849" w:rsidP="00697116">
      <w:pPr>
        <w:spacing w:after="0" w:line="276" w:lineRule="auto"/>
        <w:rPr>
          <w:rFonts w:ascii="Arial" w:hAnsi="Arial" w:cs="Arial"/>
          <w:sz w:val="24"/>
          <w:szCs w:val="24"/>
        </w:rPr>
      </w:pPr>
      <w:r>
        <w:rPr>
          <w:rFonts w:ascii="Arial" w:hAnsi="Arial" w:cs="Arial"/>
          <w:sz w:val="24"/>
          <w:szCs w:val="24"/>
        </w:rPr>
        <w:t xml:space="preserve">Ancillary uses include use as a residential annex or “granny flat”.  </w:t>
      </w:r>
      <w:r w:rsidR="005E2337">
        <w:rPr>
          <w:rFonts w:ascii="Arial" w:hAnsi="Arial" w:cs="Arial"/>
          <w:sz w:val="24"/>
          <w:szCs w:val="24"/>
        </w:rPr>
        <w:t xml:space="preserve">Ancillary accommodation is that which provides the occupant(s) with some independence from the main dwelling.  Such occupants can include an elderly relative (who may or </w:t>
      </w:r>
    </w:p>
    <w:p w14:paraId="19A5BF73" w14:textId="794F065A" w:rsidR="007C5305" w:rsidRDefault="005E2337" w:rsidP="00697116">
      <w:pPr>
        <w:spacing w:after="0" w:line="276" w:lineRule="auto"/>
        <w:rPr>
          <w:rFonts w:ascii="Arial" w:hAnsi="Arial" w:cs="Arial"/>
          <w:sz w:val="24"/>
          <w:szCs w:val="24"/>
        </w:rPr>
      </w:pPr>
      <w:r>
        <w:rPr>
          <w:rFonts w:ascii="Arial" w:hAnsi="Arial" w:cs="Arial"/>
          <w:sz w:val="24"/>
          <w:szCs w:val="24"/>
        </w:rPr>
        <w:t>may not require a degree of care) or perhaps a young adult who seeks their own space.</w:t>
      </w:r>
    </w:p>
    <w:p w14:paraId="66533D63" w14:textId="77777777" w:rsidR="005E2337" w:rsidRDefault="005E2337" w:rsidP="00697116">
      <w:pPr>
        <w:spacing w:after="0" w:line="276" w:lineRule="auto"/>
        <w:rPr>
          <w:rFonts w:ascii="Arial" w:hAnsi="Arial" w:cs="Arial"/>
          <w:sz w:val="24"/>
          <w:szCs w:val="24"/>
        </w:rPr>
      </w:pPr>
    </w:p>
    <w:p w14:paraId="18A494C4" w14:textId="4EFD4BD6" w:rsidR="00B50849" w:rsidRDefault="00B50849" w:rsidP="00697116">
      <w:pPr>
        <w:spacing w:after="0" w:line="276" w:lineRule="auto"/>
        <w:rPr>
          <w:rFonts w:ascii="Arial" w:hAnsi="Arial" w:cs="Arial"/>
          <w:sz w:val="24"/>
          <w:szCs w:val="24"/>
        </w:rPr>
      </w:pPr>
      <w:r>
        <w:rPr>
          <w:rFonts w:ascii="Arial" w:hAnsi="Arial" w:cs="Arial"/>
          <w:sz w:val="24"/>
          <w:szCs w:val="24"/>
        </w:rPr>
        <w:t>To be ancillary, the use must rely on the main property and share facilities with that property.  Examples of shared facilities are a kitchen</w:t>
      </w:r>
      <w:r w:rsidR="00BE2523">
        <w:rPr>
          <w:rFonts w:ascii="Arial" w:hAnsi="Arial" w:cs="Arial"/>
          <w:sz w:val="24"/>
          <w:szCs w:val="24"/>
        </w:rPr>
        <w:t xml:space="preserve"> and/ or bathroom/ shower room.</w:t>
      </w:r>
    </w:p>
    <w:p w14:paraId="2CE3C1F5" w14:textId="77777777" w:rsidR="00BE2523" w:rsidRDefault="00BE2523" w:rsidP="00697116">
      <w:pPr>
        <w:spacing w:after="0" w:line="276" w:lineRule="auto"/>
        <w:rPr>
          <w:rFonts w:ascii="Arial" w:hAnsi="Arial" w:cs="Arial"/>
          <w:sz w:val="24"/>
          <w:szCs w:val="24"/>
        </w:rPr>
      </w:pPr>
    </w:p>
    <w:p w14:paraId="37B64D7B" w14:textId="4CAE5317" w:rsidR="00BE2523" w:rsidRDefault="00BE2523" w:rsidP="00697116">
      <w:pPr>
        <w:spacing w:after="0" w:line="276" w:lineRule="auto"/>
        <w:rPr>
          <w:rFonts w:ascii="Arial" w:hAnsi="Arial" w:cs="Arial"/>
          <w:sz w:val="24"/>
          <w:szCs w:val="24"/>
        </w:rPr>
      </w:pPr>
      <w:r>
        <w:rPr>
          <w:rFonts w:ascii="Arial" w:hAnsi="Arial" w:cs="Arial"/>
          <w:sz w:val="24"/>
          <w:szCs w:val="24"/>
        </w:rPr>
        <w:t>If an annex is self-contained, it is not ancillary accommodation.</w:t>
      </w:r>
    </w:p>
    <w:p w14:paraId="60C5CF6B" w14:textId="77777777" w:rsidR="005E2337" w:rsidRDefault="005E2337" w:rsidP="00697116">
      <w:pPr>
        <w:spacing w:after="0" w:line="276" w:lineRule="auto"/>
        <w:rPr>
          <w:rFonts w:ascii="Arial" w:hAnsi="Arial" w:cs="Arial"/>
          <w:sz w:val="24"/>
          <w:szCs w:val="24"/>
        </w:rPr>
      </w:pPr>
    </w:p>
    <w:p w14:paraId="611F9A29" w14:textId="3B8C3C1A" w:rsidR="00BE2523" w:rsidRDefault="00BE2523" w:rsidP="00697116">
      <w:pPr>
        <w:spacing w:after="0" w:line="276" w:lineRule="auto"/>
        <w:rPr>
          <w:rFonts w:ascii="Arial" w:hAnsi="Arial" w:cs="Arial"/>
          <w:b/>
          <w:bCs/>
          <w:sz w:val="24"/>
          <w:szCs w:val="24"/>
        </w:rPr>
      </w:pPr>
      <w:r>
        <w:rPr>
          <w:rFonts w:ascii="Arial" w:hAnsi="Arial" w:cs="Arial"/>
          <w:b/>
          <w:bCs/>
          <w:sz w:val="24"/>
          <w:szCs w:val="24"/>
        </w:rPr>
        <w:t>What makes an annex self-contained?</w:t>
      </w:r>
    </w:p>
    <w:p w14:paraId="7B21D35A" w14:textId="77777777" w:rsidR="00BE2523" w:rsidRDefault="00BE2523" w:rsidP="00697116">
      <w:pPr>
        <w:spacing w:after="0" w:line="276" w:lineRule="auto"/>
        <w:rPr>
          <w:rFonts w:ascii="Arial" w:hAnsi="Arial" w:cs="Arial"/>
          <w:b/>
          <w:bCs/>
          <w:sz w:val="24"/>
          <w:szCs w:val="24"/>
        </w:rPr>
      </w:pPr>
    </w:p>
    <w:p w14:paraId="72A381B8" w14:textId="6AA3C03F" w:rsidR="00BE2523" w:rsidRDefault="00FF0B2D" w:rsidP="00697116">
      <w:pPr>
        <w:spacing w:after="0" w:line="276" w:lineRule="auto"/>
        <w:rPr>
          <w:rFonts w:ascii="Arial" w:hAnsi="Arial" w:cs="Arial"/>
          <w:sz w:val="24"/>
          <w:szCs w:val="24"/>
        </w:rPr>
      </w:pPr>
      <w:r>
        <w:rPr>
          <w:rFonts w:ascii="Arial" w:hAnsi="Arial" w:cs="Arial"/>
          <w:sz w:val="24"/>
          <w:szCs w:val="24"/>
        </w:rPr>
        <w:t>The following are indicators that use of an annex is self-contained and therefore not ancillary.  These indicators may exist individually or collectively.</w:t>
      </w:r>
    </w:p>
    <w:p w14:paraId="2A095CAF" w14:textId="07EF8810"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All internal facilities to allow day to day living independent from main dwelling including kitchen and bathroom/ shower facilities.</w:t>
      </w:r>
    </w:p>
    <w:p w14:paraId="5E4AE517" w14:textId="72C1D053"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 xml:space="preserve">Scale </w:t>
      </w:r>
      <w:proofErr w:type="gramStart"/>
      <w:r>
        <w:rPr>
          <w:rFonts w:ascii="Arial" w:hAnsi="Arial" w:cs="Arial"/>
          <w:sz w:val="24"/>
          <w:szCs w:val="24"/>
        </w:rPr>
        <w:t>not proportionate</w:t>
      </w:r>
      <w:proofErr w:type="gramEnd"/>
      <w:r>
        <w:rPr>
          <w:rFonts w:ascii="Arial" w:hAnsi="Arial" w:cs="Arial"/>
          <w:sz w:val="24"/>
          <w:szCs w:val="24"/>
        </w:rPr>
        <w:t xml:space="preserve"> to main dwelling.</w:t>
      </w:r>
    </w:p>
    <w:p w14:paraId="19F0FD9A" w14:textId="0089D4B5"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 xml:space="preserve">Boundaries creating </w:t>
      </w:r>
      <w:r w:rsidR="00A036EE">
        <w:rPr>
          <w:rFonts w:ascii="Arial" w:hAnsi="Arial" w:cs="Arial"/>
          <w:sz w:val="24"/>
          <w:szCs w:val="24"/>
        </w:rPr>
        <w:t xml:space="preserve">(partial) </w:t>
      </w:r>
      <w:r>
        <w:rPr>
          <w:rFonts w:ascii="Arial" w:hAnsi="Arial" w:cs="Arial"/>
          <w:sz w:val="24"/>
          <w:szCs w:val="24"/>
        </w:rPr>
        <w:t>individual curtilage/ plot.</w:t>
      </w:r>
    </w:p>
    <w:p w14:paraId="6FA3BF64" w14:textId="7BBD58EC"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Separate postal address.</w:t>
      </w:r>
    </w:p>
    <w:p w14:paraId="4601E91F" w14:textId="3E1948A4"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Separate letter box.</w:t>
      </w:r>
    </w:p>
    <w:p w14:paraId="28DC8771" w14:textId="5F115151"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Separate property rating by Land and Property Services.</w:t>
      </w:r>
    </w:p>
    <w:p w14:paraId="36DAF008" w14:textId="04E35523" w:rsidR="00FF0B2D" w:rsidRDefault="00E33EE0"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 xml:space="preserve">Independent </w:t>
      </w:r>
      <w:r w:rsidR="00FF0B2D">
        <w:rPr>
          <w:rFonts w:ascii="Arial" w:hAnsi="Arial" w:cs="Arial"/>
          <w:sz w:val="24"/>
          <w:szCs w:val="24"/>
        </w:rPr>
        <w:t>utility billing e.g. electricity, telephone/ internet.</w:t>
      </w:r>
    </w:p>
    <w:p w14:paraId="0712ADE0" w14:textId="25618EB5"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Separate driveway and/ or vehicular access.</w:t>
      </w:r>
    </w:p>
    <w:p w14:paraId="37836B2F" w14:textId="0F46F1EC" w:rsidR="00E208C4" w:rsidRDefault="00E208C4"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Separate sewerage connection or infrastructure.</w:t>
      </w:r>
    </w:p>
    <w:p w14:paraId="37B1BB8A" w14:textId="108FE7D4" w:rsidR="00FF0B2D" w:rsidRDefault="00FF0B2D" w:rsidP="00FF0B2D">
      <w:pPr>
        <w:pStyle w:val="ListParagraph"/>
        <w:numPr>
          <w:ilvl w:val="0"/>
          <w:numId w:val="13"/>
        </w:numPr>
        <w:spacing w:after="0" w:line="276" w:lineRule="auto"/>
        <w:rPr>
          <w:rFonts w:ascii="Arial" w:hAnsi="Arial" w:cs="Arial"/>
          <w:sz w:val="24"/>
          <w:szCs w:val="24"/>
        </w:rPr>
      </w:pPr>
      <w:r>
        <w:rPr>
          <w:rFonts w:ascii="Arial" w:hAnsi="Arial" w:cs="Arial"/>
          <w:sz w:val="24"/>
          <w:szCs w:val="24"/>
        </w:rPr>
        <w:t>Independent heating system and/ or fuel storage.</w:t>
      </w:r>
    </w:p>
    <w:p w14:paraId="7004609D" w14:textId="77777777" w:rsidR="00FF0B2D" w:rsidRDefault="00FF0B2D" w:rsidP="00FF0B2D">
      <w:pPr>
        <w:spacing w:after="0" w:line="276" w:lineRule="auto"/>
        <w:rPr>
          <w:rFonts w:ascii="Arial" w:hAnsi="Arial" w:cs="Arial"/>
          <w:sz w:val="24"/>
          <w:szCs w:val="24"/>
        </w:rPr>
      </w:pPr>
    </w:p>
    <w:p w14:paraId="668ED424" w14:textId="3A5F4CC7" w:rsidR="00FF0B2D" w:rsidRDefault="00FF0B2D" w:rsidP="00FF0B2D">
      <w:pPr>
        <w:spacing w:after="0" w:line="276" w:lineRule="auto"/>
        <w:rPr>
          <w:rFonts w:ascii="Arial" w:hAnsi="Arial" w:cs="Arial"/>
          <w:b/>
          <w:bCs/>
          <w:sz w:val="24"/>
          <w:szCs w:val="24"/>
        </w:rPr>
      </w:pPr>
      <w:r>
        <w:rPr>
          <w:rFonts w:ascii="Arial" w:hAnsi="Arial" w:cs="Arial"/>
          <w:b/>
          <w:bCs/>
          <w:sz w:val="24"/>
          <w:szCs w:val="24"/>
        </w:rPr>
        <w:t xml:space="preserve">Does </w:t>
      </w:r>
      <w:r w:rsidR="004A4C5E">
        <w:rPr>
          <w:rFonts w:ascii="Arial" w:hAnsi="Arial" w:cs="Arial"/>
          <w:b/>
          <w:bCs/>
          <w:sz w:val="24"/>
          <w:szCs w:val="24"/>
        </w:rPr>
        <w:t>conversion</w:t>
      </w:r>
      <w:r>
        <w:rPr>
          <w:rFonts w:ascii="Arial" w:hAnsi="Arial" w:cs="Arial"/>
          <w:b/>
          <w:bCs/>
          <w:sz w:val="24"/>
          <w:szCs w:val="24"/>
        </w:rPr>
        <w:t xml:space="preserve"> of an </w:t>
      </w:r>
      <w:r w:rsidR="00E33EE0">
        <w:rPr>
          <w:rFonts w:ascii="Arial" w:hAnsi="Arial" w:cs="Arial"/>
          <w:b/>
          <w:bCs/>
          <w:sz w:val="24"/>
          <w:szCs w:val="24"/>
        </w:rPr>
        <w:t>established</w:t>
      </w:r>
      <w:r>
        <w:rPr>
          <w:rFonts w:ascii="Arial" w:hAnsi="Arial" w:cs="Arial"/>
          <w:b/>
          <w:bCs/>
          <w:sz w:val="24"/>
          <w:szCs w:val="24"/>
        </w:rPr>
        <w:t xml:space="preserve"> building within the curtilage/ plot of the main dwelling </w:t>
      </w:r>
      <w:r w:rsidR="004A4C5E">
        <w:rPr>
          <w:rFonts w:ascii="Arial" w:hAnsi="Arial" w:cs="Arial"/>
          <w:b/>
          <w:bCs/>
          <w:sz w:val="24"/>
          <w:szCs w:val="24"/>
        </w:rPr>
        <w:t xml:space="preserve">into </w:t>
      </w:r>
      <w:r>
        <w:rPr>
          <w:rFonts w:ascii="Arial" w:hAnsi="Arial" w:cs="Arial"/>
          <w:b/>
          <w:bCs/>
          <w:sz w:val="24"/>
          <w:szCs w:val="24"/>
        </w:rPr>
        <w:t>ancillary accommodation require planning permission?</w:t>
      </w:r>
    </w:p>
    <w:p w14:paraId="48FE0C2A" w14:textId="77777777" w:rsidR="00FF0B2D" w:rsidRDefault="00FF0B2D" w:rsidP="00FF0B2D">
      <w:pPr>
        <w:spacing w:after="0" w:line="276" w:lineRule="auto"/>
        <w:rPr>
          <w:rFonts w:ascii="Arial" w:hAnsi="Arial" w:cs="Arial"/>
          <w:b/>
          <w:bCs/>
          <w:sz w:val="24"/>
          <w:szCs w:val="24"/>
        </w:rPr>
      </w:pPr>
    </w:p>
    <w:p w14:paraId="1CFB750E" w14:textId="4ADC98DC" w:rsidR="00FF0B2D" w:rsidRDefault="00FF0B2D" w:rsidP="00FF0B2D">
      <w:pPr>
        <w:spacing w:after="0" w:line="276" w:lineRule="auto"/>
        <w:rPr>
          <w:rFonts w:ascii="Arial" w:hAnsi="Arial" w:cs="Arial"/>
          <w:sz w:val="24"/>
          <w:szCs w:val="24"/>
        </w:rPr>
      </w:pPr>
      <w:r>
        <w:rPr>
          <w:rFonts w:ascii="Arial" w:hAnsi="Arial" w:cs="Arial"/>
          <w:sz w:val="24"/>
          <w:szCs w:val="24"/>
        </w:rPr>
        <w:t xml:space="preserve">No, providing that </w:t>
      </w:r>
      <w:r w:rsidR="00E33EE0">
        <w:rPr>
          <w:rFonts w:ascii="Arial" w:hAnsi="Arial" w:cs="Arial"/>
          <w:sz w:val="24"/>
          <w:szCs w:val="24"/>
        </w:rPr>
        <w:t>the ancillary accommodation is not self-contained.</w:t>
      </w:r>
      <w:r w:rsidR="00100646">
        <w:rPr>
          <w:rFonts w:ascii="Arial" w:hAnsi="Arial" w:cs="Arial"/>
          <w:sz w:val="24"/>
          <w:szCs w:val="24"/>
        </w:rPr>
        <w:t xml:space="preserve">  The reason for this is that use of an established building within the curtilage/ plot of the main dwelling for this purpose does not constitute a material change of use.  Regarding changes of use, planning permission is only required where the change of use is material.</w:t>
      </w:r>
    </w:p>
    <w:p w14:paraId="379D5C4F" w14:textId="77777777" w:rsidR="00100646" w:rsidRDefault="00100646" w:rsidP="00FF0B2D">
      <w:pPr>
        <w:spacing w:after="0" w:line="276" w:lineRule="auto"/>
        <w:rPr>
          <w:rFonts w:ascii="Arial" w:hAnsi="Arial" w:cs="Arial"/>
          <w:sz w:val="24"/>
          <w:szCs w:val="24"/>
        </w:rPr>
      </w:pPr>
    </w:p>
    <w:p w14:paraId="1781F984" w14:textId="5EDF56B2" w:rsidR="00100646" w:rsidRDefault="00100646" w:rsidP="00FF0B2D">
      <w:pPr>
        <w:spacing w:after="0" w:line="276" w:lineRule="auto"/>
        <w:rPr>
          <w:rFonts w:ascii="Arial" w:hAnsi="Arial" w:cs="Arial"/>
          <w:sz w:val="24"/>
          <w:szCs w:val="24"/>
        </w:rPr>
      </w:pPr>
      <w:r>
        <w:rPr>
          <w:rFonts w:ascii="Arial" w:hAnsi="Arial" w:cs="Arial"/>
          <w:sz w:val="24"/>
          <w:szCs w:val="24"/>
        </w:rPr>
        <w:t xml:space="preserve">An exception to this is where the building is subject to a planning condition precluding human habitation.  </w:t>
      </w:r>
      <w:r w:rsidR="00D13733">
        <w:rPr>
          <w:rFonts w:ascii="Arial" w:hAnsi="Arial" w:cs="Arial"/>
          <w:sz w:val="24"/>
          <w:szCs w:val="24"/>
        </w:rPr>
        <w:t>A further exception is where the conversion is to a listed building.</w:t>
      </w:r>
    </w:p>
    <w:p w14:paraId="52E453A6" w14:textId="77777777" w:rsidR="00E208C4" w:rsidRDefault="00E208C4" w:rsidP="00FF0B2D">
      <w:pPr>
        <w:spacing w:after="0" w:line="276" w:lineRule="auto"/>
        <w:rPr>
          <w:rFonts w:ascii="Arial" w:hAnsi="Arial" w:cs="Arial"/>
          <w:sz w:val="24"/>
          <w:szCs w:val="24"/>
        </w:rPr>
      </w:pPr>
    </w:p>
    <w:p w14:paraId="2761BDEC" w14:textId="6DDC45DE" w:rsidR="00E208C4" w:rsidRDefault="00E208C4" w:rsidP="00FF0B2D">
      <w:pPr>
        <w:spacing w:after="0" w:line="276" w:lineRule="auto"/>
        <w:rPr>
          <w:rFonts w:ascii="Arial" w:hAnsi="Arial" w:cs="Arial"/>
          <w:sz w:val="24"/>
          <w:szCs w:val="24"/>
        </w:rPr>
      </w:pPr>
      <w:r>
        <w:rPr>
          <w:rFonts w:ascii="Arial" w:hAnsi="Arial" w:cs="Arial"/>
          <w:sz w:val="24"/>
          <w:szCs w:val="24"/>
        </w:rPr>
        <w:t>Additionally, the conversion must not materially affect the external appearance of the building.  If the conversion would materially affect the external appearance of the building, planning permission is required.  The reason for this is that Section 23 of the Planning Act (Northern Ireland) 2011, regarding the meaning of development, only excludes works “which do not materially affect the external appearance of the building”.   Therefore, any changes t</w:t>
      </w:r>
      <w:r w:rsidR="00063705">
        <w:rPr>
          <w:rFonts w:ascii="Arial" w:hAnsi="Arial" w:cs="Arial"/>
          <w:sz w:val="24"/>
          <w:szCs w:val="24"/>
        </w:rPr>
        <w:t xml:space="preserve">o the </w:t>
      </w:r>
      <w:r>
        <w:rPr>
          <w:rFonts w:ascii="Arial" w:hAnsi="Arial" w:cs="Arial"/>
          <w:sz w:val="24"/>
          <w:szCs w:val="24"/>
        </w:rPr>
        <w:t>building</w:t>
      </w:r>
      <w:r w:rsidR="00063705">
        <w:rPr>
          <w:rFonts w:ascii="Arial" w:hAnsi="Arial" w:cs="Arial"/>
          <w:sz w:val="24"/>
          <w:szCs w:val="24"/>
        </w:rPr>
        <w:t xml:space="preserve"> to be converted</w:t>
      </w:r>
      <w:r>
        <w:rPr>
          <w:rFonts w:ascii="Arial" w:hAnsi="Arial" w:cs="Arial"/>
          <w:sz w:val="24"/>
          <w:szCs w:val="24"/>
        </w:rPr>
        <w:t xml:space="preserve"> need to be minimal.  An example of </w:t>
      </w:r>
      <w:r w:rsidR="00063705">
        <w:rPr>
          <w:rFonts w:ascii="Arial" w:hAnsi="Arial" w:cs="Arial"/>
          <w:sz w:val="24"/>
          <w:szCs w:val="24"/>
        </w:rPr>
        <w:t>a minimal change</w:t>
      </w:r>
      <w:r>
        <w:rPr>
          <w:rFonts w:ascii="Arial" w:hAnsi="Arial" w:cs="Arial"/>
          <w:sz w:val="24"/>
          <w:szCs w:val="24"/>
        </w:rPr>
        <w:t xml:space="preserve"> is replacement of a garage door with glazing/ patio doors</w:t>
      </w:r>
      <w:r w:rsidR="00063705">
        <w:rPr>
          <w:rFonts w:ascii="Arial" w:hAnsi="Arial" w:cs="Arial"/>
          <w:sz w:val="24"/>
          <w:szCs w:val="24"/>
        </w:rPr>
        <w:t xml:space="preserve"> within the established opening. </w:t>
      </w:r>
    </w:p>
    <w:p w14:paraId="0C8E2BE1" w14:textId="77777777" w:rsidR="003E14DB" w:rsidRDefault="003E14DB" w:rsidP="00FF0B2D">
      <w:pPr>
        <w:spacing w:after="0" w:line="276" w:lineRule="auto"/>
        <w:rPr>
          <w:rFonts w:ascii="Arial" w:hAnsi="Arial" w:cs="Arial"/>
          <w:sz w:val="24"/>
          <w:szCs w:val="24"/>
        </w:rPr>
      </w:pPr>
    </w:p>
    <w:p w14:paraId="45A2CC9C" w14:textId="36B1FCED" w:rsidR="003E14DB" w:rsidRDefault="003E14DB" w:rsidP="00FF0B2D">
      <w:pPr>
        <w:spacing w:after="0" w:line="276" w:lineRule="auto"/>
        <w:rPr>
          <w:rFonts w:ascii="Arial" w:hAnsi="Arial" w:cs="Arial"/>
          <w:sz w:val="24"/>
          <w:szCs w:val="24"/>
        </w:rPr>
      </w:pPr>
      <w:r>
        <w:rPr>
          <w:rFonts w:ascii="Arial" w:hAnsi="Arial" w:cs="Arial"/>
          <w:sz w:val="24"/>
          <w:szCs w:val="24"/>
        </w:rPr>
        <w:t>Conversion of an established building into ancillary accommodation outside the curtilage/ plot of the main dwelling will always require planning permission.</w:t>
      </w:r>
    </w:p>
    <w:p w14:paraId="735027AF" w14:textId="77777777" w:rsidR="00422311" w:rsidRDefault="00422311" w:rsidP="00FF0B2D">
      <w:pPr>
        <w:spacing w:after="0" w:line="276" w:lineRule="auto"/>
        <w:rPr>
          <w:rFonts w:ascii="Arial" w:hAnsi="Arial" w:cs="Arial"/>
          <w:sz w:val="24"/>
          <w:szCs w:val="24"/>
        </w:rPr>
      </w:pPr>
    </w:p>
    <w:p w14:paraId="25955FC5" w14:textId="77777777" w:rsidR="008947CC" w:rsidRDefault="00422311" w:rsidP="008947CC">
      <w:pPr>
        <w:spacing w:line="276" w:lineRule="auto"/>
        <w:rPr>
          <w:rFonts w:ascii="Arial" w:hAnsi="Arial" w:cs="Arial"/>
          <w:b/>
          <w:bCs/>
          <w:sz w:val="24"/>
          <w:szCs w:val="24"/>
        </w:rPr>
      </w:pPr>
      <w:r>
        <w:rPr>
          <w:rFonts w:ascii="Arial" w:hAnsi="Arial" w:cs="Arial"/>
          <w:b/>
          <w:bCs/>
          <w:sz w:val="24"/>
          <w:szCs w:val="24"/>
        </w:rPr>
        <w:t>Can I convert part of my existing dwelling to provide ancillary accommodation?</w:t>
      </w:r>
    </w:p>
    <w:p w14:paraId="27F757F0" w14:textId="573A69B1" w:rsidR="00E33EE0" w:rsidRPr="008947CC" w:rsidRDefault="004A4C5E" w:rsidP="008947CC">
      <w:pPr>
        <w:spacing w:line="276" w:lineRule="auto"/>
        <w:rPr>
          <w:rFonts w:ascii="Arial" w:hAnsi="Arial" w:cs="Arial"/>
          <w:b/>
          <w:bCs/>
          <w:sz w:val="24"/>
          <w:szCs w:val="24"/>
        </w:rPr>
      </w:pPr>
      <w:r>
        <w:rPr>
          <w:rFonts w:ascii="Arial" w:hAnsi="Arial" w:cs="Arial"/>
          <w:sz w:val="24"/>
          <w:szCs w:val="24"/>
        </w:rPr>
        <w:t xml:space="preserve">Yes, providing that the ancillary accommodation is not self-contained.  The reason for this, </w:t>
      </w:r>
      <w:proofErr w:type="gramStart"/>
      <w:r>
        <w:rPr>
          <w:rFonts w:ascii="Arial" w:hAnsi="Arial" w:cs="Arial"/>
          <w:sz w:val="24"/>
          <w:szCs w:val="24"/>
        </w:rPr>
        <w:t>similar to</w:t>
      </w:r>
      <w:proofErr w:type="gramEnd"/>
      <w:r>
        <w:rPr>
          <w:rFonts w:ascii="Arial" w:hAnsi="Arial" w:cs="Arial"/>
          <w:sz w:val="24"/>
          <w:szCs w:val="24"/>
        </w:rPr>
        <w:t xml:space="preserve"> the above, is that such a conversion does not constitute a material change of use.  </w:t>
      </w:r>
      <w:r w:rsidR="00063705">
        <w:rPr>
          <w:rFonts w:ascii="Arial" w:hAnsi="Arial" w:cs="Arial"/>
          <w:sz w:val="24"/>
          <w:szCs w:val="24"/>
        </w:rPr>
        <w:t xml:space="preserve"> Again, the conversion must not materially affect the external appearance of the building.</w:t>
      </w:r>
    </w:p>
    <w:p w14:paraId="59FA5C04" w14:textId="77777777" w:rsidR="008947CC" w:rsidRDefault="00E33EE0" w:rsidP="008947CC">
      <w:pPr>
        <w:spacing w:line="276" w:lineRule="auto"/>
        <w:rPr>
          <w:rFonts w:ascii="Arial" w:hAnsi="Arial" w:cs="Arial"/>
          <w:b/>
          <w:bCs/>
          <w:sz w:val="24"/>
          <w:szCs w:val="24"/>
        </w:rPr>
      </w:pPr>
      <w:r>
        <w:rPr>
          <w:rFonts w:ascii="Arial" w:hAnsi="Arial" w:cs="Arial"/>
          <w:b/>
          <w:bCs/>
          <w:sz w:val="24"/>
          <w:szCs w:val="24"/>
        </w:rPr>
        <w:t xml:space="preserve">Can </w:t>
      </w:r>
      <w:r w:rsidR="00100646">
        <w:rPr>
          <w:rFonts w:ascii="Arial" w:hAnsi="Arial" w:cs="Arial"/>
          <w:b/>
          <w:bCs/>
          <w:sz w:val="24"/>
          <w:szCs w:val="24"/>
        </w:rPr>
        <w:t>a</w:t>
      </w:r>
      <w:r w:rsidR="008947CC">
        <w:rPr>
          <w:rFonts w:ascii="Arial" w:hAnsi="Arial" w:cs="Arial"/>
          <w:b/>
          <w:bCs/>
          <w:sz w:val="24"/>
          <w:szCs w:val="24"/>
        </w:rPr>
        <w:t xml:space="preserve"> building for the purposes of </w:t>
      </w:r>
      <w:r>
        <w:rPr>
          <w:rFonts w:ascii="Arial" w:hAnsi="Arial" w:cs="Arial"/>
          <w:b/>
          <w:bCs/>
          <w:sz w:val="24"/>
          <w:szCs w:val="24"/>
        </w:rPr>
        <w:t>ancillary accommodation be constructed as permitted development i.e. without planning permission?</w:t>
      </w:r>
    </w:p>
    <w:p w14:paraId="1B841333" w14:textId="540B8BAD" w:rsidR="008947CC" w:rsidRPr="008947CC" w:rsidRDefault="00E33EE0" w:rsidP="008947CC">
      <w:pPr>
        <w:spacing w:line="276" w:lineRule="auto"/>
        <w:rPr>
          <w:rFonts w:ascii="Arial" w:hAnsi="Arial" w:cs="Arial"/>
          <w:b/>
          <w:bCs/>
          <w:sz w:val="24"/>
          <w:szCs w:val="24"/>
        </w:rPr>
      </w:pPr>
      <w:r>
        <w:rPr>
          <w:rFonts w:ascii="Arial" w:hAnsi="Arial" w:cs="Arial"/>
          <w:sz w:val="24"/>
          <w:szCs w:val="24"/>
        </w:rPr>
        <w:t xml:space="preserve">No.  While the legislation allows the provision of a building within the curtilage of a dwellinghouse for a purpose “incidental to the enjoyment of the dwellinghouse”, there is no provision to allow an ancillary building to be constructed.  </w:t>
      </w:r>
      <w:r w:rsidR="00100646">
        <w:rPr>
          <w:rFonts w:ascii="Arial" w:hAnsi="Arial" w:cs="Arial"/>
          <w:sz w:val="24"/>
          <w:szCs w:val="24"/>
        </w:rPr>
        <w:t xml:space="preserve">Therefore, planning permission is always required where a new building for the purpose of ancillary accommodation is </w:t>
      </w:r>
      <w:r w:rsidR="001D6A5A">
        <w:rPr>
          <w:rFonts w:ascii="Arial" w:hAnsi="Arial" w:cs="Arial"/>
          <w:sz w:val="24"/>
          <w:szCs w:val="24"/>
        </w:rPr>
        <w:t>proposed</w:t>
      </w:r>
      <w:r w:rsidR="00100646">
        <w:rPr>
          <w:rFonts w:ascii="Arial" w:hAnsi="Arial" w:cs="Arial"/>
          <w:sz w:val="24"/>
          <w:szCs w:val="24"/>
        </w:rPr>
        <w:t>.</w:t>
      </w:r>
    </w:p>
    <w:p w14:paraId="54E4F15D" w14:textId="296825EF" w:rsidR="008947CC" w:rsidRPr="008947CC" w:rsidRDefault="00100646" w:rsidP="008947CC">
      <w:pPr>
        <w:spacing w:line="276" w:lineRule="auto"/>
        <w:rPr>
          <w:rFonts w:ascii="Arial" w:hAnsi="Arial" w:cs="Arial"/>
          <w:sz w:val="24"/>
          <w:szCs w:val="24"/>
        </w:rPr>
      </w:pPr>
      <w:r>
        <w:rPr>
          <w:rFonts w:ascii="Arial" w:hAnsi="Arial" w:cs="Arial"/>
          <w:b/>
          <w:bCs/>
          <w:sz w:val="24"/>
          <w:szCs w:val="24"/>
        </w:rPr>
        <w:t>Can a house extension for the purpose of ancillary accommodation be constructed as permitted development i.e. without planning permission?</w:t>
      </w:r>
    </w:p>
    <w:p w14:paraId="5F367847" w14:textId="0B709799" w:rsidR="008947CC" w:rsidRPr="008947CC" w:rsidRDefault="00100646" w:rsidP="008947CC">
      <w:pPr>
        <w:spacing w:line="276" w:lineRule="auto"/>
        <w:rPr>
          <w:rFonts w:ascii="Arial" w:hAnsi="Arial" w:cs="Arial"/>
          <w:b/>
          <w:bCs/>
          <w:sz w:val="24"/>
          <w:szCs w:val="24"/>
        </w:rPr>
      </w:pPr>
      <w:r>
        <w:rPr>
          <w:rFonts w:ascii="Arial" w:hAnsi="Arial" w:cs="Arial"/>
          <w:sz w:val="24"/>
          <w:szCs w:val="24"/>
        </w:rPr>
        <w:t xml:space="preserve">No.  </w:t>
      </w:r>
      <w:r w:rsidR="00E33EE0">
        <w:rPr>
          <w:rFonts w:ascii="Arial" w:hAnsi="Arial" w:cs="Arial"/>
          <w:sz w:val="24"/>
          <w:szCs w:val="24"/>
        </w:rPr>
        <w:t>A house extension can only be constructed as permitted development where it is for the purposes of the “enlargement, improvement or other alteration of a</w:t>
      </w:r>
      <w:r w:rsidR="008947CC">
        <w:rPr>
          <w:rFonts w:ascii="Arial" w:hAnsi="Arial" w:cs="Arial"/>
          <w:sz w:val="24"/>
          <w:szCs w:val="24"/>
        </w:rPr>
        <w:t xml:space="preserve"> </w:t>
      </w:r>
      <w:r w:rsidR="00E33EE0">
        <w:rPr>
          <w:rFonts w:ascii="Arial" w:hAnsi="Arial" w:cs="Arial"/>
          <w:sz w:val="24"/>
          <w:szCs w:val="24"/>
        </w:rPr>
        <w:t>dwellinghouse.”  Therefore, a house extension c</w:t>
      </w:r>
      <w:r>
        <w:rPr>
          <w:rFonts w:ascii="Arial" w:hAnsi="Arial" w:cs="Arial"/>
          <w:sz w:val="24"/>
          <w:szCs w:val="24"/>
        </w:rPr>
        <w:t xml:space="preserve">an only be constructed for the purpose of extending the primary living accommodation.  Therefore, planning permission is always required where a house extension for the purpose of ancillary accommodation is </w:t>
      </w:r>
      <w:r w:rsidR="001D6A5A">
        <w:rPr>
          <w:rFonts w:ascii="Arial" w:hAnsi="Arial" w:cs="Arial"/>
          <w:sz w:val="24"/>
          <w:szCs w:val="24"/>
        </w:rPr>
        <w:t>proposed.</w:t>
      </w:r>
    </w:p>
    <w:p w14:paraId="46C787CE" w14:textId="77777777" w:rsidR="00063705" w:rsidRDefault="00063705" w:rsidP="008947CC">
      <w:pPr>
        <w:spacing w:line="276" w:lineRule="auto"/>
        <w:rPr>
          <w:rFonts w:ascii="Arial" w:hAnsi="Arial" w:cs="Arial"/>
          <w:b/>
          <w:bCs/>
          <w:sz w:val="24"/>
          <w:szCs w:val="24"/>
        </w:rPr>
      </w:pPr>
    </w:p>
    <w:p w14:paraId="144D3743" w14:textId="77777777" w:rsidR="00063705" w:rsidRDefault="00063705" w:rsidP="008947CC">
      <w:pPr>
        <w:spacing w:line="276" w:lineRule="auto"/>
        <w:rPr>
          <w:rFonts w:ascii="Arial" w:hAnsi="Arial" w:cs="Arial"/>
          <w:b/>
          <w:bCs/>
          <w:sz w:val="24"/>
          <w:szCs w:val="24"/>
        </w:rPr>
      </w:pPr>
    </w:p>
    <w:p w14:paraId="4CDD856D" w14:textId="77777777" w:rsidR="00063705" w:rsidRDefault="00063705" w:rsidP="008947CC">
      <w:pPr>
        <w:spacing w:line="276" w:lineRule="auto"/>
        <w:rPr>
          <w:rFonts w:ascii="Arial" w:hAnsi="Arial" w:cs="Arial"/>
          <w:b/>
          <w:bCs/>
          <w:sz w:val="24"/>
          <w:szCs w:val="24"/>
        </w:rPr>
      </w:pPr>
    </w:p>
    <w:p w14:paraId="6AB61003" w14:textId="77777777" w:rsidR="00063705" w:rsidRDefault="00063705" w:rsidP="008947CC">
      <w:pPr>
        <w:spacing w:line="276" w:lineRule="auto"/>
        <w:rPr>
          <w:rFonts w:ascii="Arial" w:hAnsi="Arial" w:cs="Arial"/>
          <w:b/>
          <w:bCs/>
          <w:sz w:val="24"/>
          <w:szCs w:val="24"/>
        </w:rPr>
      </w:pPr>
    </w:p>
    <w:p w14:paraId="53FEF829" w14:textId="6954866E" w:rsidR="001D6A5A" w:rsidRPr="008947CC" w:rsidRDefault="001D6A5A" w:rsidP="008947CC">
      <w:pPr>
        <w:spacing w:line="276" w:lineRule="auto"/>
        <w:rPr>
          <w:rFonts w:ascii="Arial" w:hAnsi="Arial" w:cs="Arial"/>
          <w:sz w:val="24"/>
          <w:szCs w:val="24"/>
        </w:rPr>
      </w:pPr>
      <w:r>
        <w:rPr>
          <w:rFonts w:ascii="Arial" w:hAnsi="Arial" w:cs="Arial"/>
          <w:b/>
          <w:bCs/>
          <w:sz w:val="24"/>
          <w:szCs w:val="24"/>
        </w:rPr>
        <w:t>What fee category applies to a planning application for ancillary accommodation?</w:t>
      </w:r>
    </w:p>
    <w:p w14:paraId="0591AFB1" w14:textId="3067953E" w:rsidR="00422311" w:rsidRPr="00422311" w:rsidRDefault="00422311" w:rsidP="00885C56">
      <w:pPr>
        <w:rPr>
          <w:rFonts w:ascii="Arial" w:hAnsi="Arial" w:cs="Arial"/>
          <w:sz w:val="24"/>
          <w:szCs w:val="24"/>
        </w:rPr>
      </w:pPr>
      <w:r>
        <w:rPr>
          <w:rFonts w:ascii="Arial" w:hAnsi="Arial" w:cs="Arial"/>
          <w:sz w:val="24"/>
          <w:szCs w:val="24"/>
        </w:rPr>
        <w:t>Category 4.  This category makes specific reference to “the carrying out of other operations within the curtilage of a dwellinghouse for purposes ancillary to the enjoyment of the dwellinghouse…”</w:t>
      </w:r>
    </w:p>
    <w:p w14:paraId="3AFC2B47" w14:textId="01135916" w:rsidR="001D6A5A" w:rsidRDefault="001D6A5A" w:rsidP="00885C56">
      <w:pPr>
        <w:rPr>
          <w:rFonts w:ascii="Arial" w:hAnsi="Arial" w:cs="Arial"/>
          <w:b/>
          <w:bCs/>
          <w:sz w:val="24"/>
          <w:szCs w:val="24"/>
        </w:rPr>
      </w:pPr>
      <w:r>
        <w:rPr>
          <w:rFonts w:ascii="Arial" w:hAnsi="Arial" w:cs="Arial"/>
          <w:b/>
          <w:bCs/>
          <w:sz w:val="24"/>
          <w:szCs w:val="24"/>
        </w:rPr>
        <w:t xml:space="preserve">What planning policy applies to a </w:t>
      </w:r>
      <w:r w:rsidR="00422311">
        <w:rPr>
          <w:rFonts w:ascii="Arial" w:hAnsi="Arial" w:cs="Arial"/>
          <w:b/>
          <w:bCs/>
          <w:sz w:val="24"/>
          <w:szCs w:val="24"/>
        </w:rPr>
        <w:t>proposal</w:t>
      </w:r>
      <w:r>
        <w:rPr>
          <w:rFonts w:ascii="Arial" w:hAnsi="Arial" w:cs="Arial"/>
          <w:b/>
          <w:bCs/>
          <w:sz w:val="24"/>
          <w:szCs w:val="24"/>
        </w:rPr>
        <w:t xml:space="preserve"> for ancillary accommodation?</w:t>
      </w:r>
    </w:p>
    <w:p w14:paraId="5F884154" w14:textId="34487B54" w:rsidR="00422311" w:rsidRPr="00422311" w:rsidRDefault="00A036EE" w:rsidP="00885C56">
      <w:pPr>
        <w:rPr>
          <w:rFonts w:ascii="Arial" w:hAnsi="Arial" w:cs="Arial"/>
          <w:sz w:val="24"/>
          <w:szCs w:val="24"/>
        </w:rPr>
      </w:pPr>
      <w:r>
        <w:rPr>
          <w:rFonts w:ascii="Arial" w:hAnsi="Arial" w:cs="Arial"/>
          <w:sz w:val="24"/>
          <w:szCs w:val="24"/>
        </w:rPr>
        <w:t xml:space="preserve">The current planning policy that applies is PPS 7 Addendum: Residential Extensions and Alterations Policy EXT 1.  Policy EXT 1 provides guidance at Annex A in relation to extensions and alterations to provide ancillary uses.  Regional policy will continue to apply until the Council’s new Plan Strategy is adopted.  </w:t>
      </w:r>
    </w:p>
    <w:sectPr w:rsidR="00422311" w:rsidRPr="00422311" w:rsidSect="00754BEE">
      <w:headerReference w:type="default" r:id="rId10"/>
      <w:footerReference w:type="default" r:id="rId11"/>
      <w:pgSz w:w="11906" w:h="16838"/>
      <w:pgMar w:top="2127" w:right="1440" w:bottom="1440" w:left="1440" w:header="708" w:footer="2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9F791" w14:textId="77777777" w:rsidR="00274D66" w:rsidRDefault="00274D66" w:rsidP="001E4B32">
      <w:pPr>
        <w:spacing w:after="0" w:line="240" w:lineRule="auto"/>
      </w:pPr>
      <w:r>
        <w:separator/>
      </w:r>
    </w:p>
  </w:endnote>
  <w:endnote w:type="continuationSeparator" w:id="0">
    <w:p w14:paraId="15C86567" w14:textId="77777777" w:rsidR="00274D66" w:rsidRDefault="00274D66" w:rsidP="001E4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1FA7" w14:textId="49345E48" w:rsidR="00754BEE" w:rsidRDefault="00DB0F6F" w:rsidP="00DB0F6F">
    <w:pPr>
      <w:tabs>
        <w:tab w:val="center" w:pos="4550"/>
        <w:tab w:val="left" w:pos="5818"/>
      </w:tabs>
      <w:ind w:right="260"/>
      <w:rPr>
        <w:color w:val="222A35" w:themeColor="text2" w:themeShade="80"/>
        <w:sz w:val="24"/>
        <w:szCs w:val="24"/>
      </w:rPr>
    </w:pPr>
    <w:r>
      <w:rPr>
        <w:color w:val="8496B0" w:themeColor="text2" w:themeTint="99"/>
        <w:spacing w:val="60"/>
        <w:sz w:val="24"/>
        <w:szCs w:val="24"/>
      </w:rPr>
      <w:t xml:space="preserve">Incidental Use and </w:t>
    </w:r>
    <w:r w:rsidR="005C2C8E">
      <w:rPr>
        <w:color w:val="8496B0" w:themeColor="text2" w:themeTint="99"/>
        <w:spacing w:val="60"/>
        <w:sz w:val="24"/>
        <w:szCs w:val="24"/>
      </w:rPr>
      <w:t>Ancillary Accommodation</w:t>
    </w:r>
    <w:r w:rsidR="00752FE7">
      <w:rPr>
        <w:color w:val="8496B0" w:themeColor="text2" w:themeTint="99"/>
        <w:spacing w:val="60"/>
        <w:sz w:val="24"/>
        <w:szCs w:val="24"/>
      </w:rPr>
      <w:t xml:space="preserve"> 2</w:t>
    </w:r>
    <w:r w:rsidR="005C2C8E">
      <w:rPr>
        <w:color w:val="8496B0" w:themeColor="text2" w:themeTint="99"/>
        <w:spacing w:val="60"/>
        <w:sz w:val="24"/>
        <w:szCs w:val="24"/>
      </w:rPr>
      <w:t>6</w:t>
    </w:r>
    <w:r w:rsidR="00A60A4B">
      <w:rPr>
        <w:color w:val="8496B0" w:themeColor="text2" w:themeTint="99"/>
        <w:spacing w:val="60"/>
        <w:sz w:val="24"/>
        <w:szCs w:val="24"/>
      </w:rPr>
      <w:t>10</w:t>
    </w:r>
    <w:r w:rsidR="005C2C8E">
      <w:rPr>
        <w:color w:val="8496B0" w:themeColor="text2" w:themeTint="99"/>
        <w:spacing w:val="60"/>
        <w:sz w:val="24"/>
        <w:szCs w:val="24"/>
      </w:rPr>
      <w:t>01</w:t>
    </w:r>
    <w:r w:rsidR="00DD71D8">
      <w:rPr>
        <w:color w:val="8496B0" w:themeColor="text2" w:themeTint="99"/>
        <w:spacing w:val="60"/>
        <w:sz w:val="24"/>
        <w:szCs w:val="24"/>
      </w:rPr>
      <w:t xml:space="preserve"> version </w:t>
    </w:r>
    <w:r w:rsidR="00752FE7">
      <w:rPr>
        <w:color w:val="8496B0" w:themeColor="text2" w:themeTint="99"/>
        <w:spacing w:val="60"/>
        <w:sz w:val="24"/>
        <w:szCs w:val="24"/>
      </w:rPr>
      <w:t>1</w:t>
    </w:r>
    <w:r w:rsidR="00476811">
      <w:rPr>
        <w:color w:val="8496B0" w:themeColor="text2" w:themeTint="99"/>
        <w:spacing w:val="60"/>
        <w:sz w:val="24"/>
        <w:szCs w:val="24"/>
      </w:rPr>
      <w:t>.</w:t>
    </w:r>
    <w:r w:rsidR="005C2C8E">
      <w:rPr>
        <w:color w:val="8496B0" w:themeColor="text2" w:themeTint="99"/>
        <w:spacing w:val="60"/>
        <w:sz w:val="24"/>
        <w:szCs w:val="24"/>
      </w:rPr>
      <w:t>1</w:t>
    </w:r>
    <w:r w:rsidR="00754BEE">
      <w:rPr>
        <w:color w:val="8496B0" w:themeColor="text2" w:themeTint="99"/>
        <w:spacing w:val="60"/>
        <w:sz w:val="24"/>
        <w:szCs w:val="24"/>
      </w:rPr>
      <w:tab/>
    </w:r>
    <w:r w:rsidR="00754BEE">
      <w:rPr>
        <w:color w:val="8496B0" w:themeColor="text2" w:themeTint="99"/>
        <w:spacing w:val="60"/>
        <w:sz w:val="24"/>
        <w:szCs w:val="24"/>
      </w:rPr>
      <w:tab/>
    </w:r>
    <w:r w:rsidR="00754BEE">
      <w:rPr>
        <w:color w:val="8496B0" w:themeColor="text2" w:themeTint="99"/>
        <w:spacing w:val="60"/>
        <w:sz w:val="24"/>
        <w:szCs w:val="24"/>
      </w:rPr>
      <w:tab/>
    </w:r>
    <w:r w:rsidR="00754BEE">
      <w:rPr>
        <w:color w:val="8496B0" w:themeColor="text2" w:themeTint="99"/>
        <w:spacing w:val="60"/>
        <w:sz w:val="24"/>
        <w:szCs w:val="24"/>
      </w:rPr>
      <w:tab/>
      <w:t>Page</w:t>
    </w:r>
    <w:r w:rsidR="00754BEE">
      <w:rPr>
        <w:color w:val="8496B0" w:themeColor="text2" w:themeTint="99"/>
        <w:sz w:val="24"/>
        <w:szCs w:val="24"/>
      </w:rPr>
      <w:t xml:space="preserve"> </w:t>
    </w:r>
    <w:r w:rsidR="00754BEE">
      <w:rPr>
        <w:color w:val="323E4F" w:themeColor="text2" w:themeShade="BF"/>
        <w:sz w:val="24"/>
        <w:szCs w:val="24"/>
      </w:rPr>
      <w:fldChar w:fldCharType="begin"/>
    </w:r>
    <w:r w:rsidR="00754BEE">
      <w:rPr>
        <w:color w:val="323E4F" w:themeColor="text2" w:themeShade="BF"/>
        <w:sz w:val="24"/>
        <w:szCs w:val="24"/>
      </w:rPr>
      <w:instrText xml:space="preserve"> PAGE   \* MERGEFORMAT </w:instrText>
    </w:r>
    <w:r w:rsidR="00754BEE">
      <w:rPr>
        <w:color w:val="323E4F" w:themeColor="text2" w:themeShade="BF"/>
        <w:sz w:val="24"/>
        <w:szCs w:val="24"/>
      </w:rPr>
      <w:fldChar w:fldCharType="separate"/>
    </w:r>
    <w:r w:rsidR="00DD71D8">
      <w:rPr>
        <w:noProof/>
        <w:color w:val="323E4F" w:themeColor="text2" w:themeShade="BF"/>
        <w:sz w:val="24"/>
        <w:szCs w:val="24"/>
      </w:rPr>
      <w:t>7</w:t>
    </w:r>
    <w:r w:rsidR="00754BEE">
      <w:rPr>
        <w:color w:val="323E4F" w:themeColor="text2" w:themeShade="BF"/>
        <w:sz w:val="24"/>
        <w:szCs w:val="24"/>
      </w:rPr>
      <w:fldChar w:fldCharType="end"/>
    </w:r>
    <w:r w:rsidR="00754BEE">
      <w:rPr>
        <w:color w:val="323E4F" w:themeColor="text2" w:themeShade="BF"/>
        <w:sz w:val="24"/>
        <w:szCs w:val="24"/>
      </w:rPr>
      <w:t xml:space="preserve"> | </w:t>
    </w:r>
    <w:r w:rsidR="00754BEE">
      <w:rPr>
        <w:color w:val="323E4F" w:themeColor="text2" w:themeShade="BF"/>
        <w:sz w:val="24"/>
        <w:szCs w:val="24"/>
      </w:rPr>
      <w:fldChar w:fldCharType="begin"/>
    </w:r>
    <w:r w:rsidR="00754BEE">
      <w:rPr>
        <w:color w:val="323E4F" w:themeColor="text2" w:themeShade="BF"/>
        <w:sz w:val="24"/>
        <w:szCs w:val="24"/>
      </w:rPr>
      <w:instrText xml:space="preserve"> NUMPAGES  \* Arabic  \* MERGEFORMAT </w:instrText>
    </w:r>
    <w:r w:rsidR="00754BEE">
      <w:rPr>
        <w:color w:val="323E4F" w:themeColor="text2" w:themeShade="BF"/>
        <w:sz w:val="24"/>
        <w:szCs w:val="24"/>
      </w:rPr>
      <w:fldChar w:fldCharType="separate"/>
    </w:r>
    <w:r w:rsidR="00DD71D8">
      <w:rPr>
        <w:noProof/>
        <w:color w:val="323E4F" w:themeColor="text2" w:themeShade="BF"/>
        <w:sz w:val="24"/>
        <w:szCs w:val="24"/>
      </w:rPr>
      <w:t>8</w:t>
    </w:r>
    <w:r w:rsidR="00754BEE">
      <w:rPr>
        <w:color w:val="323E4F" w:themeColor="text2" w:themeShade="BF"/>
        <w:sz w:val="24"/>
        <w:szCs w:val="24"/>
      </w:rPr>
      <w:fldChar w:fldCharType="end"/>
    </w:r>
  </w:p>
  <w:p w14:paraId="4A8D2B4D" w14:textId="77777777" w:rsidR="00C31BF5" w:rsidRDefault="00C31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90958" w14:textId="77777777" w:rsidR="00274D66" w:rsidRDefault="00274D66" w:rsidP="001E4B32">
      <w:pPr>
        <w:spacing w:after="0" w:line="240" w:lineRule="auto"/>
      </w:pPr>
      <w:r>
        <w:separator/>
      </w:r>
    </w:p>
  </w:footnote>
  <w:footnote w:type="continuationSeparator" w:id="0">
    <w:p w14:paraId="6003AA7D" w14:textId="77777777" w:rsidR="00274D66" w:rsidRDefault="00274D66" w:rsidP="001E4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F2AF" w14:textId="77777777" w:rsidR="001E4B32" w:rsidRDefault="001E4B32">
    <w:pPr>
      <w:pStyle w:val="Header"/>
    </w:pPr>
    <w:r w:rsidRPr="00263C23">
      <w:rPr>
        <w:rFonts w:ascii="Arial" w:eastAsia="Times New Roman" w:hAnsi="Arial" w:cs="Arial"/>
        <w:noProof/>
        <w:sz w:val="24"/>
        <w:szCs w:val="24"/>
        <w:lang w:eastAsia="en-GB"/>
      </w:rPr>
      <mc:AlternateContent>
        <mc:Choice Requires="wps">
          <w:drawing>
            <wp:anchor distT="45720" distB="45720" distL="114300" distR="114300" simplePos="0" relativeHeight="251659264" behindDoc="0" locked="0" layoutInCell="1" allowOverlap="1" wp14:anchorId="41D3123A" wp14:editId="596F1834">
              <wp:simplePos x="0" y="0"/>
              <wp:positionH relativeFrom="margin">
                <wp:posOffset>3305175</wp:posOffset>
              </wp:positionH>
              <wp:positionV relativeFrom="paragraph">
                <wp:posOffset>7620</wp:posOffset>
              </wp:positionV>
              <wp:extent cx="2790825" cy="952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952500"/>
                      </a:xfrm>
                      <a:prstGeom prst="rect">
                        <a:avLst/>
                      </a:prstGeom>
                      <a:solidFill>
                        <a:srgbClr val="FFFFFF"/>
                      </a:solidFill>
                      <a:ln w="9525">
                        <a:noFill/>
                        <a:miter lim="800000"/>
                        <a:headEnd/>
                        <a:tailEnd/>
                      </a:ln>
                    </wps:spPr>
                    <wps:txbx>
                      <w:txbxContent>
                        <w:p w14:paraId="16D77513" w14:textId="35E326DA" w:rsidR="001E4B32" w:rsidRDefault="001E4B32" w:rsidP="001E4B32">
                          <w:pPr>
                            <w:rPr>
                              <w:rFonts w:ascii="Arial" w:hAnsi="Arial" w:cs="Arial"/>
                              <w:color w:val="0070C0"/>
                              <w:sz w:val="32"/>
                              <w:szCs w:val="32"/>
                            </w:rPr>
                          </w:pPr>
                          <w:r w:rsidRPr="00472208">
                            <w:rPr>
                              <w:rFonts w:ascii="Arial" w:hAnsi="Arial" w:cs="Arial"/>
                              <w:color w:val="0070C0"/>
                              <w:sz w:val="32"/>
                              <w:szCs w:val="32"/>
                            </w:rPr>
                            <w:t xml:space="preserve">Development Management </w:t>
                          </w:r>
                          <w:r w:rsidR="0040549D">
                            <w:rPr>
                              <w:rFonts w:ascii="Arial" w:hAnsi="Arial" w:cs="Arial"/>
                              <w:color w:val="0070C0"/>
                              <w:sz w:val="32"/>
                              <w:szCs w:val="32"/>
                            </w:rPr>
                            <w:t xml:space="preserve">Information Note </w:t>
                          </w:r>
                          <w:r w:rsidR="007C5305">
                            <w:rPr>
                              <w:rFonts w:ascii="Arial" w:hAnsi="Arial" w:cs="Arial"/>
                              <w:color w:val="0070C0"/>
                              <w:sz w:val="32"/>
                              <w:szCs w:val="32"/>
                            </w:rPr>
                            <w:t>12</w:t>
                          </w:r>
                        </w:p>
                        <w:p w14:paraId="62B32428" w14:textId="17B6BDB6" w:rsidR="001E4B32" w:rsidRPr="00472208" w:rsidRDefault="00A80C2B" w:rsidP="001E4B32">
                          <w:pPr>
                            <w:rPr>
                              <w:rFonts w:ascii="Arial" w:hAnsi="Arial" w:cs="Arial"/>
                              <w:color w:val="0070C0"/>
                              <w:sz w:val="32"/>
                              <w:szCs w:val="32"/>
                            </w:rPr>
                          </w:pPr>
                          <w:r>
                            <w:rPr>
                              <w:rFonts w:ascii="Arial" w:hAnsi="Arial" w:cs="Arial"/>
                              <w:color w:val="0070C0"/>
                              <w:sz w:val="32"/>
                              <w:szCs w:val="32"/>
                            </w:rPr>
                            <w:t>October</w:t>
                          </w:r>
                          <w:r w:rsidR="00B54F77">
                            <w:rPr>
                              <w:rFonts w:ascii="Arial" w:hAnsi="Arial" w:cs="Arial"/>
                              <w:color w:val="0070C0"/>
                              <w:sz w:val="32"/>
                              <w:szCs w:val="32"/>
                            </w:rPr>
                            <w:t xml:space="preserve"> 202</w:t>
                          </w:r>
                          <w:r w:rsidR="007C5305">
                            <w:rPr>
                              <w:rFonts w:ascii="Arial" w:hAnsi="Arial" w:cs="Arial"/>
                              <w:color w:val="0070C0"/>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D3123A" id="_x0000_t202" coordsize="21600,21600" o:spt="202" path="m,l,21600r21600,l21600,xe">
              <v:stroke joinstyle="miter"/>
              <v:path gradientshapeok="t" o:connecttype="rect"/>
            </v:shapetype>
            <v:shape id="Text Box 2" o:spid="_x0000_s1026" type="#_x0000_t202" style="position:absolute;margin-left:260.25pt;margin-top:.6pt;width:219.75pt;height: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" stroked="f">
              <v:textbox>
                <w:txbxContent>
                  <w:p w14:paraId="16D77513" w14:textId="35E326DA" w:rsidR="001E4B32" w:rsidRDefault="001E4B32" w:rsidP="001E4B32">
                    <w:pPr>
                      <w:rPr>
                        <w:rFonts w:ascii="Arial" w:hAnsi="Arial" w:cs="Arial"/>
                        <w:color w:val="0070C0"/>
                        <w:sz w:val="32"/>
                        <w:szCs w:val="32"/>
                      </w:rPr>
                    </w:pPr>
                    <w:r w:rsidRPr="00472208">
                      <w:rPr>
                        <w:rFonts w:ascii="Arial" w:hAnsi="Arial" w:cs="Arial"/>
                        <w:color w:val="0070C0"/>
                        <w:sz w:val="32"/>
                        <w:szCs w:val="32"/>
                      </w:rPr>
                      <w:t xml:space="preserve">Development Management </w:t>
                    </w:r>
                    <w:r w:rsidR="0040549D">
                      <w:rPr>
                        <w:rFonts w:ascii="Arial" w:hAnsi="Arial" w:cs="Arial"/>
                        <w:color w:val="0070C0"/>
                        <w:sz w:val="32"/>
                        <w:szCs w:val="32"/>
                      </w:rPr>
                      <w:t xml:space="preserve">Information Note </w:t>
                    </w:r>
                    <w:r w:rsidR="007C5305">
                      <w:rPr>
                        <w:rFonts w:ascii="Arial" w:hAnsi="Arial" w:cs="Arial"/>
                        <w:color w:val="0070C0"/>
                        <w:sz w:val="32"/>
                        <w:szCs w:val="32"/>
                      </w:rPr>
                      <w:t>12</w:t>
                    </w:r>
                  </w:p>
                  <w:p w14:paraId="62B32428" w14:textId="17B6BDB6" w:rsidR="001E4B32" w:rsidRPr="00472208" w:rsidRDefault="00A80C2B" w:rsidP="001E4B32">
                    <w:pPr>
                      <w:rPr>
                        <w:rFonts w:ascii="Arial" w:hAnsi="Arial" w:cs="Arial"/>
                        <w:color w:val="0070C0"/>
                        <w:sz w:val="32"/>
                        <w:szCs w:val="32"/>
                      </w:rPr>
                    </w:pPr>
                    <w:r>
                      <w:rPr>
                        <w:rFonts w:ascii="Arial" w:hAnsi="Arial" w:cs="Arial"/>
                        <w:color w:val="0070C0"/>
                        <w:sz w:val="32"/>
                        <w:szCs w:val="32"/>
                      </w:rPr>
                      <w:t>October</w:t>
                    </w:r>
                    <w:r w:rsidR="00B54F77">
                      <w:rPr>
                        <w:rFonts w:ascii="Arial" w:hAnsi="Arial" w:cs="Arial"/>
                        <w:color w:val="0070C0"/>
                        <w:sz w:val="32"/>
                        <w:szCs w:val="32"/>
                      </w:rPr>
                      <w:t xml:space="preserve"> 202</w:t>
                    </w:r>
                    <w:r w:rsidR="007C5305">
                      <w:rPr>
                        <w:rFonts w:ascii="Arial" w:hAnsi="Arial" w:cs="Arial"/>
                        <w:color w:val="0070C0"/>
                        <w:sz w:val="32"/>
                        <w:szCs w:val="32"/>
                      </w:rPr>
                      <w:t>6</w:t>
                    </w:r>
                  </w:p>
                </w:txbxContent>
              </v:textbox>
              <w10:wrap type="square" anchorx="margin"/>
            </v:shape>
          </w:pict>
        </mc:Fallback>
      </mc:AlternateContent>
    </w:r>
    <w:r w:rsidRPr="00BB178D">
      <w:rPr>
        <w:noProof/>
        <w:sz w:val="28"/>
        <w:lang w:eastAsia="en-GB"/>
      </w:rPr>
      <w:drawing>
        <wp:inline distT="0" distB="0" distL="0" distR="0" wp14:anchorId="16007AA1" wp14:editId="2B6D3002">
          <wp:extent cx="2843322" cy="942975"/>
          <wp:effectExtent l="0" t="0" r="0" b="0"/>
          <wp:docPr id="5" name="Picture 5" descr="CC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G-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438" cy="94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625"/>
    <w:multiLevelType w:val="hybridMultilevel"/>
    <w:tmpl w:val="1B28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E3A4B"/>
    <w:multiLevelType w:val="hybridMultilevel"/>
    <w:tmpl w:val="41666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00B9F"/>
    <w:multiLevelType w:val="hybridMultilevel"/>
    <w:tmpl w:val="C81C7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5F2B6C"/>
    <w:multiLevelType w:val="hybridMultilevel"/>
    <w:tmpl w:val="1ACED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61F8F"/>
    <w:multiLevelType w:val="hybridMultilevel"/>
    <w:tmpl w:val="B232C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1E7E1D"/>
    <w:multiLevelType w:val="hybridMultilevel"/>
    <w:tmpl w:val="F8580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C6BC3"/>
    <w:multiLevelType w:val="hybridMultilevel"/>
    <w:tmpl w:val="E8660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8667A3"/>
    <w:multiLevelType w:val="hybridMultilevel"/>
    <w:tmpl w:val="679EB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C42848"/>
    <w:multiLevelType w:val="hybridMultilevel"/>
    <w:tmpl w:val="37AC1D4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9" w15:restartNumberingAfterBreak="0">
    <w:nsid w:val="4E3C2A11"/>
    <w:multiLevelType w:val="hybridMultilevel"/>
    <w:tmpl w:val="49780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6D4EC6"/>
    <w:multiLevelType w:val="multilevel"/>
    <w:tmpl w:val="A6B61056"/>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b/>
        <w:sz w:val="24"/>
        <w:szCs w:val="24"/>
      </w:rPr>
    </w:lvl>
    <w:lvl w:ilvl="2">
      <w:start w:val="1"/>
      <w:numFmt w:val="bullet"/>
      <w:lvlText w:val=""/>
      <w:lvlJc w:val="left"/>
      <w:pPr>
        <w:ind w:left="2160" w:hanging="720"/>
      </w:pPr>
      <w:rPr>
        <w:rFonts w:ascii="Symbol" w:hAnsi="Symbol" w:hint="default"/>
      </w:rPr>
    </w:lvl>
    <w:lvl w:ilvl="3">
      <w:start w:val="1"/>
      <w:numFmt w:val="bullet"/>
      <w:lvlText w:val=""/>
      <w:lvlJc w:val="left"/>
      <w:pPr>
        <w:ind w:left="3240" w:hanging="1080"/>
      </w:pPr>
      <w:rPr>
        <w:rFonts w:ascii="Wingdings" w:hAnsi="Wingding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F2A6F96"/>
    <w:multiLevelType w:val="hybridMultilevel"/>
    <w:tmpl w:val="549C3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4B382E"/>
    <w:multiLevelType w:val="hybridMultilevel"/>
    <w:tmpl w:val="E828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493741">
    <w:abstractNumId w:val="9"/>
  </w:num>
  <w:num w:numId="2" w16cid:durableId="2079747640">
    <w:abstractNumId w:val="12"/>
  </w:num>
  <w:num w:numId="3" w16cid:durableId="1411461042">
    <w:abstractNumId w:val="11"/>
  </w:num>
  <w:num w:numId="4" w16cid:durableId="665741623">
    <w:abstractNumId w:val="0"/>
  </w:num>
  <w:num w:numId="5" w16cid:durableId="1209341287">
    <w:abstractNumId w:val="1"/>
  </w:num>
  <w:num w:numId="6" w16cid:durableId="1754160905">
    <w:abstractNumId w:val="6"/>
  </w:num>
  <w:num w:numId="7" w16cid:durableId="1019040930">
    <w:abstractNumId w:val="5"/>
  </w:num>
  <w:num w:numId="8" w16cid:durableId="1319726419">
    <w:abstractNumId w:val="10"/>
  </w:num>
  <w:num w:numId="9" w16cid:durableId="775952800">
    <w:abstractNumId w:val="8"/>
  </w:num>
  <w:num w:numId="10" w16cid:durableId="232005824">
    <w:abstractNumId w:val="4"/>
  </w:num>
  <w:num w:numId="11" w16cid:durableId="690374900">
    <w:abstractNumId w:val="3"/>
  </w:num>
  <w:num w:numId="12" w16cid:durableId="136654009">
    <w:abstractNumId w:val="2"/>
  </w:num>
  <w:num w:numId="13" w16cid:durableId="617586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B43"/>
    <w:rsid w:val="0000132E"/>
    <w:rsid w:val="00002E40"/>
    <w:rsid w:val="00003328"/>
    <w:rsid w:val="00003665"/>
    <w:rsid w:val="00004B8C"/>
    <w:rsid w:val="00025E54"/>
    <w:rsid w:val="000278E6"/>
    <w:rsid w:val="00032671"/>
    <w:rsid w:val="00044DA9"/>
    <w:rsid w:val="00045F90"/>
    <w:rsid w:val="00050816"/>
    <w:rsid w:val="00063705"/>
    <w:rsid w:val="00065DA2"/>
    <w:rsid w:val="00072769"/>
    <w:rsid w:val="000872BF"/>
    <w:rsid w:val="00092C4E"/>
    <w:rsid w:val="000A134F"/>
    <w:rsid w:val="000D0E2E"/>
    <w:rsid w:val="000E1F84"/>
    <w:rsid w:val="000E3E3D"/>
    <w:rsid w:val="000E50EF"/>
    <w:rsid w:val="000F02AE"/>
    <w:rsid w:val="00100646"/>
    <w:rsid w:val="00104A5A"/>
    <w:rsid w:val="00125194"/>
    <w:rsid w:val="00131B27"/>
    <w:rsid w:val="001326E0"/>
    <w:rsid w:val="00133B3D"/>
    <w:rsid w:val="0014005A"/>
    <w:rsid w:val="00152D93"/>
    <w:rsid w:val="001675C4"/>
    <w:rsid w:val="00173EA1"/>
    <w:rsid w:val="001746E8"/>
    <w:rsid w:val="00174F8A"/>
    <w:rsid w:val="00183A5C"/>
    <w:rsid w:val="00187C53"/>
    <w:rsid w:val="0019642D"/>
    <w:rsid w:val="00197946"/>
    <w:rsid w:val="0019797C"/>
    <w:rsid w:val="001A1365"/>
    <w:rsid w:val="001A508A"/>
    <w:rsid w:val="001B30E1"/>
    <w:rsid w:val="001B45A4"/>
    <w:rsid w:val="001C74B5"/>
    <w:rsid w:val="001D27CF"/>
    <w:rsid w:val="001D5333"/>
    <w:rsid w:val="001D6A5A"/>
    <w:rsid w:val="001E1E7D"/>
    <w:rsid w:val="001E4B32"/>
    <w:rsid w:val="001E6B21"/>
    <w:rsid w:val="001F61F6"/>
    <w:rsid w:val="001F71B1"/>
    <w:rsid w:val="00212D16"/>
    <w:rsid w:val="00216D92"/>
    <w:rsid w:val="002334F8"/>
    <w:rsid w:val="002340AB"/>
    <w:rsid w:val="0023470C"/>
    <w:rsid w:val="0025574C"/>
    <w:rsid w:val="00260006"/>
    <w:rsid w:val="002724BA"/>
    <w:rsid w:val="00274D66"/>
    <w:rsid w:val="00290F06"/>
    <w:rsid w:val="002910C9"/>
    <w:rsid w:val="00292C9B"/>
    <w:rsid w:val="00293D97"/>
    <w:rsid w:val="002C4E24"/>
    <w:rsid w:val="002D0ECC"/>
    <w:rsid w:val="002F1E29"/>
    <w:rsid w:val="002F3631"/>
    <w:rsid w:val="002F7643"/>
    <w:rsid w:val="00303598"/>
    <w:rsid w:val="003036B2"/>
    <w:rsid w:val="00307C8A"/>
    <w:rsid w:val="00340A2C"/>
    <w:rsid w:val="003478CA"/>
    <w:rsid w:val="00360D84"/>
    <w:rsid w:val="00362D79"/>
    <w:rsid w:val="00372194"/>
    <w:rsid w:val="003844FC"/>
    <w:rsid w:val="00385572"/>
    <w:rsid w:val="00397626"/>
    <w:rsid w:val="003A66EA"/>
    <w:rsid w:val="003C41E4"/>
    <w:rsid w:val="003D51E8"/>
    <w:rsid w:val="003E09C7"/>
    <w:rsid w:val="003E14CA"/>
    <w:rsid w:val="003E14DB"/>
    <w:rsid w:val="0040549D"/>
    <w:rsid w:val="00405DDE"/>
    <w:rsid w:val="004129DB"/>
    <w:rsid w:val="0042089F"/>
    <w:rsid w:val="00422311"/>
    <w:rsid w:val="00422397"/>
    <w:rsid w:val="00424AAA"/>
    <w:rsid w:val="00432DF5"/>
    <w:rsid w:val="00441367"/>
    <w:rsid w:val="0044528D"/>
    <w:rsid w:val="00451172"/>
    <w:rsid w:val="0045255C"/>
    <w:rsid w:val="00453B93"/>
    <w:rsid w:val="0045621C"/>
    <w:rsid w:val="00456C31"/>
    <w:rsid w:val="00457B7C"/>
    <w:rsid w:val="00474443"/>
    <w:rsid w:val="00474D99"/>
    <w:rsid w:val="00476811"/>
    <w:rsid w:val="00483706"/>
    <w:rsid w:val="00487E85"/>
    <w:rsid w:val="00492841"/>
    <w:rsid w:val="00494123"/>
    <w:rsid w:val="004A2028"/>
    <w:rsid w:val="004A4C5E"/>
    <w:rsid w:val="004B6BC9"/>
    <w:rsid w:val="004B7C57"/>
    <w:rsid w:val="004C0F54"/>
    <w:rsid w:val="004C41E1"/>
    <w:rsid w:val="004F7E7C"/>
    <w:rsid w:val="00500EA1"/>
    <w:rsid w:val="00512A63"/>
    <w:rsid w:val="0052226D"/>
    <w:rsid w:val="00522916"/>
    <w:rsid w:val="005550C1"/>
    <w:rsid w:val="00555EDD"/>
    <w:rsid w:val="0056378C"/>
    <w:rsid w:val="00573B43"/>
    <w:rsid w:val="005871FA"/>
    <w:rsid w:val="005928B0"/>
    <w:rsid w:val="005B4386"/>
    <w:rsid w:val="005C2C8E"/>
    <w:rsid w:val="005E1F81"/>
    <w:rsid w:val="005E2337"/>
    <w:rsid w:val="005E6E85"/>
    <w:rsid w:val="005F2A47"/>
    <w:rsid w:val="00611F54"/>
    <w:rsid w:val="006241C3"/>
    <w:rsid w:val="00650EA6"/>
    <w:rsid w:val="00654C39"/>
    <w:rsid w:val="00663419"/>
    <w:rsid w:val="006655D3"/>
    <w:rsid w:val="00676A17"/>
    <w:rsid w:val="00690B3B"/>
    <w:rsid w:val="00697116"/>
    <w:rsid w:val="00697916"/>
    <w:rsid w:val="006A5A71"/>
    <w:rsid w:val="006B77C2"/>
    <w:rsid w:val="006C28E6"/>
    <w:rsid w:val="006C311B"/>
    <w:rsid w:val="006D4137"/>
    <w:rsid w:val="006E5B8B"/>
    <w:rsid w:val="0072502D"/>
    <w:rsid w:val="00727753"/>
    <w:rsid w:val="00741840"/>
    <w:rsid w:val="0074391D"/>
    <w:rsid w:val="00744584"/>
    <w:rsid w:val="00752FE7"/>
    <w:rsid w:val="00754BEE"/>
    <w:rsid w:val="00756874"/>
    <w:rsid w:val="00782F93"/>
    <w:rsid w:val="007A50C2"/>
    <w:rsid w:val="007B183C"/>
    <w:rsid w:val="007B6DA7"/>
    <w:rsid w:val="007C1CAA"/>
    <w:rsid w:val="007C5305"/>
    <w:rsid w:val="007C6782"/>
    <w:rsid w:val="007C7963"/>
    <w:rsid w:val="007D2BAE"/>
    <w:rsid w:val="007D4C29"/>
    <w:rsid w:val="007E183D"/>
    <w:rsid w:val="007F1E46"/>
    <w:rsid w:val="007F461F"/>
    <w:rsid w:val="007F6226"/>
    <w:rsid w:val="00800FE2"/>
    <w:rsid w:val="008020E7"/>
    <w:rsid w:val="00806455"/>
    <w:rsid w:val="00810B8A"/>
    <w:rsid w:val="00821FA7"/>
    <w:rsid w:val="0082206A"/>
    <w:rsid w:val="00834C75"/>
    <w:rsid w:val="00850758"/>
    <w:rsid w:val="00853534"/>
    <w:rsid w:val="00883562"/>
    <w:rsid w:val="0088483F"/>
    <w:rsid w:val="00885C56"/>
    <w:rsid w:val="0088798D"/>
    <w:rsid w:val="008947CC"/>
    <w:rsid w:val="008A15F7"/>
    <w:rsid w:val="008A6515"/>
    <w:rsid w:val="008D0CA1"/>
    <w:rsid w:val="008E73F1"/>
    <w:rsid w:val="00902F27"/>
    <w:rsid w:val="009038D7"/>
    <w:rsid w:val="00907192"/>
    <w:rsid w:val="00910608"/>
    <w:rsid w:val="00915C87"/>
    <w:rsid w:val="009438B2"/>
    <w:rsid w:val="00950132"/>
    <w:rsid w:val="00965CAF"/>
    <w:rsid w:val="00970FDB"/>
    <w:rsid w:val="00987706"/>
    <w:rsid w:val="009919FC"/>
    <w:rsid w:val="00993AC3"/>
    <w:rsid w:val="00997EBA"/>
    <w:rsid w:val="009A01F9"/>
    <w:rsid w:val="009A06B0"/>
    <w:rsid w:val="009A369B"/>
    <w:rsid w:val="009B0579"/>
    <w:rsid w:val="009B0E53"/>
    <w:rsid w:val="009B247A"/>
    <w:rsid w:val="009D1C88"/>
    <w:rsid w:val="00A036EE"/>
    <w:rsid w:val="00A16A7B"/>
    <w:rsid w:val="00A230EF"/>
    <w:rsid w:val="00A31EF8"/>
    <w:rsid w:val="00A32E61"/>
    <w:rsid w:val="00A52039"/>
    <w:rsid w:val="00A56AFE"/>
    <w:rsid w:val="00A57112"/>
    <w:rsid w:val="00A60A4B"/>
    <w:rsid w:val="00A67877"/>
    <w:rsid w:val="00A73A21"/>
    <w:rsid w:val="00A748AE"/>
    <w:rsid w:val="00A74A00"/>
    <w:rsid w:val="00A80C2B"/>
    <w:rsid w:val="00A856C6"/>
    <w:rsid w:val="00AA73EE"/>
    <w:rsid w:val="00AB171F"/>
    <w:rsid w:val="00AE529F"/>
    <w:rsid w:val="00AE7F32"/>
    <w:rsid w:val="00AF53E3"/>
    <w:rsid w:val="00B10538"/>
    <w:rsid w:val="00B16382"/>
    <w:rsid w:val="00B322CA"/>
    <w:rsid w:val="00B41ED5"/>
    <w:rsid w:val="00B50849"/>
    <w:rsid w:val="00B50C4B"/>
    <w:rsid w:val="00B54F77"/>
    <w:rsid w:val="00B63E1A"/>
    <w:rsid w:val="00B82A77"/>
    <w:rsid w:val="00B92CE0"/>
    <w:rsid w:val="00B958A3"/>
    <w:rsid w:val="00B97D0D"/>
    <w:rsid w:val="00BA40C5"/>
    <w:rsid w:val="00BC4F81"/>
    <w:rsid w:val="00BC632E"/>
    <w:rsid w:val="00BD71B8"/>
    <w:rsid w:val="00BE2523"/>
    <w:rsid w:val="00BE6DB0"/>
    <w:rsid w:val="00BF5D98"/>
    <w:rsid w:val="00C31BF5"/>
    <w:rsid w:val="00C46A2E"/>
    <w:rsid w:val="00C46B78"/>
    <w:rsid w:val="00C51353"/>
    <w:rsid w:val="00C6023F"/>
    <w:rsid w:val="00C62535"/>
    <w:rsid w:val="00C82CB6"/>
    <w:rsid w:val="00C90A16"/>
    <w:rsid w:val="00C9110A"/>
    <w:rsid w:val="00C94FB7"/>
    <w:rsid w:val="00CA7558"/>
    <w:rsid w:val="00CB51E6"/>
    <w:rsid w:val="00CC5046"/>
    <w:rsid w:val="00CF43A3"/>
    <w:rsid w:val="00D02C2C"/>
    <w:rsid w:val="00D13733"/>
    <w:rsid w:val="00D172EC"/>
    <w:rsid w:val="00D35AC4"/>
    <w:rsid w:val="00D379B5"/>
    <w:rsid w:val="00D44A2C"/>
    <w:rsid w:val="00D47C77"/>
    <w:rsid w:val="00D60D3F"/>
    <w:rsid w:val="00D62606"/>
    <w:rsid w:val="00D65054"/>
    <w:rsid w:val="00D82322"/>
    <w:rsid w:val="00D827E1"/>
    <w:rsid w:val="00D84309"/>
    <w:rsid w:val="00D9366E"/>
    <w:rsid w:val="00D96454"/>
    <w:rsid w:val="00DA0E68"/>
    <w:rsid w:val="00DB0F6F"/>
    <w:rsid w:val="00DB610C"/>
    <w:rsid w:val="00DD71D8"/>
    <w:rsid w:val="00DF1942"/>
    <w:rsid w:val="00E02272"/>
    <w:rsid w:val="00E1493E"/>
    <w:rsid w:val="00E208C4"/>
    <w:rsid w:val="00E33EE0"/>
    <w:rsid w:val="00E44B8D"/>
    <w:rsid w:val="00E52BE0"/>
    <w:rsid w:val="00E60008"/>
    <w:rsid w:val="00E663BF"/>
    <w:rsid w:val="00E7234F"/>
    <w:rsid w:val="00E72548"/>
    <w:rsid w:val="00E751C9"/>
    <w:rsid w:val="00E91F6C"/>
    <w:rsid w:val="00EA5671"/>
    <w:rsid w:val="00EB7A65"/>
    <w:rsid w:val="00EC53D1"/>
    <w:rsid w:val="00EE6ABE"/>
    <w:rsid w:val="00EF2035"/>
    <w:rsid w:val="00F249C9"/>
    <w:rsid w:val="00F45373"/>
    <w:rsid w:val="00F74478"/>
    <w:rsid w:val="00F76039"/>
    <w:rsid w:val="00F86DE1"/>
    <w:rsid w:val="00F9008B"/>
    <w:rsid w:val="00FA2EE5"/>
    <w:rsid w:val="00FC6F11"/>
    <w:rsid w:val="00FE7CED"/>
    <w:rsid w:val="00FF0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40211"/>
  <w15:chartTrackingRefBased/>
  <w15:docId w15:val="{60190F1D-9E09-480F-AA9C-5919122A2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8E6"/>
    <w:pPr>
      <w:ind w:left="720"/>
      <w:contextualSpacing/>
    </w:pPr>
  </w:style>
  <w:style w:type="character" w:styleId="Hyperlink">
    <w:name w:val="Hyperlink"/>
    <w:basedOn w:val="DefaultParagraphFont"/>
    <w:uiPriority w:val="99"/>
    <w:unhideWhenUsed/>
    <w:rsid w:val="00197946"/>
    <w:rPr>
      <w:color w:val="0563C1" w:themeColor="hyperlink"/>
      <w:u w:val="single"/>
    </w:rPr>
  </w:style>
  <w:style w:type="paragraph" w:styleId="Header">
    <w:name w:val="header"/>
    <w:basedOn w:val="Normal"/>
    <w:link w:val="HeaderChar"/>
    <w:uiPriority w:val="99"/>
    <w:unhideWhenUsed/>
    <w:rsid w:val="001E4B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B32"/>
  </w:style>
  <w:style w:type="paragraph" w:styleId="Footer">
    <w:name w:val="footer"/>
    <w:basedOn w:val="Normal"/>
    <w:link w:val="FooterChar"/>
    <w:uiPriority w:val="99"/>
    <w:unhideWhenUsed/>
    <w:rsid w:val="001E4B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B32"/>
  </w:style>
  <w:style w:type="character" w:styleId="CommentReference">
    <w:name w:val="annotation reference"/>
    <w:basedOn w:val="DefaultParagraphFont"/>
    <w:uiPriority w:val="99"/>
    <w:semiHidden/>
    <w:unhideWhenUsed/>
    <w:rsid w:val="00D44A2C"/>
    <w:rPr>
      <w:sz w:val="16"/>
      <w:szCs w:val="16"/>
    </w:rPr>
  </w:style>
  <w:style w:type="paragraph" w:styleId="CommentText">
    <w:name w:val="annotation text"/>
    <w:basedOn w:val="Normal"/>
    <w:link w:val="CommentTextChar"/>
    <w:uiPriority w:val="99"/>
    <w:unhideWhenUsed/>
    <w:rsid w:val="00D44A2C"/>
    <w:pPr>
      <w:spacing w:line="240" w:lineRule="auto"/>
    </w:pPr>
    <w:rPr>
      <w:sz w:val="20"/>
      <w:szCs w:val="20"/>
    </w:rPr>
  </w:style>
  <w:style w:type="character" w:customStyle="1" w:styleId="CommentTextChar">
    <w:name w:val="Comment Text Char"/>
    <w:basedOn w:val="DefaultParagraphFont"/>
    <w:link w:val="CommentText"/>
    <w:uiPriority w:val="99"/>
    <w:rsid w:val="00D44A2C"/>
    <w:rPr>
      <w:sz w:val="20"/>
      <w:szCs w:val="20"/>
    </w:rPr>
  </w:style>
  <w:style w:type="paragraph" w:styleId="CommentSubject">
    <w:name w:val="annotation subject"/>
    <w:basedOn w:val="CommentText"/>
    <w:next w:val="CommentText"/>
    <w:link w:val="CommentSubjectChar"/>
    <w:uiPriority w:val="99"/>
    <w:semiHidden/>
    <w:unhideWhenUsed/>
    <w:rsid w:val="00D44A2C"/>
    <w:rPr>
      <w:b/>
      <w:bCs/>
    </w:rPr>
  </w:style>
  <w:style w:type="character" w:customStyle="1" w:styleId="CommentSubjectChar">
    <w:name w:val="Comment Subject Char"/>
    <w:basedOn w:val="CommentTextChar"/>
    <w:link w:val="CommentSubject"/>
    <w:uiPriority w:val="99"/>
    <w:semiHidden/>
    <w:rsid w:val="00D44A2C"/>
    <w:rPr>
      <w:b/>
      <w:bCs/>
      <w:sz w:val="20"/>
      <w:szCs w:val="20"/>
    </w:rPr>
  </w:style>
  <w:style w:type="paragraph" w:styleId="Revision">
    <w:name w:val="Revision"/>
    <w:hidden/>
    <w:uiPriority w:val="99"/>
    <w:semiHidden/>
    <w:rsid w:val="00EF2035"/>
    <w:pPr>
      <w:spacing w:after="0" w:line="240" w:lineRule="auto"/>
    </w:pPr>
  </w:style>
  <w:style w:type="paragraph" w:styleId="BalloonText">
    <w:name w:val="Balloon Text"/>
    <w:basedOn w:val="Normal"/>
    <w:link w:val="BalloonTextChar"/>
    <w:uiPriority w:val="99"/>
    <w:semiHidden/>
    <w:unhideWhenUsed/>
    <w:rsid w:val="00C911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10A"/>
    <w:rPr>
      <w:rFonts w:ascii="Segoe UI" w:hAnsi="Segoe UI" w:cs="Segoe UI"/>
      <w:sz w:val="18"/>
      <w:szCs w:val="18"/>
    </w:rPr>
  </w:style>
  <w:style w:type="character" w:styleId="UnresolvedMention">
    <w:name w:val="Unresolved Mention"/>
    <w:basedOn w:val="DefaultParagraphFont"/>
    <w:uiPriority w:val="99"/>
    <w:semiHidden/>
    <w:unhideWhenUsed/>
    <w:rsid w:val="00D93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3E885E0A73E64FB92CC853B60301BE" ma:contentTypeVersion="7" ma:contentTypeDescription="Create a new document." ma:contentTypeScope="" ma:versionID="d9c96d2466086163a57985b3ae2c084f">
  <xsd:schema xmlns:xsd="http://www.w3.org/2001/XMLSchema" xmlns:xs="http://www.w3.org/2001/XMLSchema" xmlns:p="http://schemas.microsoft.com/office/2006/metadata/properties" xmlns:ns3="b92ba55a-3948-4701-b8e1-a8eb807798a3" targetNamespace="http://schemas.microsoft.com/office/2006/metadata/properties" ma:root="true" ma:fieldsID="5758537a469a97b8a0ba1dd3011a177e" ns3:_="">
    <xsd:import namespace="b92ba55a-3948-4701-b8e1-a8eb807798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ba55a-3948-4701-b8e1-a8eb807798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2ba55a-3948-4701-b8e1-a8eb807798a3" xsi:nil="true"/>
  </documentManagement>
</p:properties>
</file>

<file path=customXml/itemProps1.xml><?xml version="1.0" encoding="utf-8"?>
<ds:datastoreItem xmlns:ds="http://schemas.openxmlformats.org/officeDocument/2006/customXml" ds:itemID="{05C19BBA-3EAC-45C0-811C-D178A80FD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ba55a-3948-4701-b8e1-a8eb807798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D56C4-7C5B-4FDE-B9A6-94C9C7D63D0B}">
  <ds:schemaRefs>
    <ds:schemaRef ds:uri="http://schemas.microsoft.com/sharepoint/v3/contenttype/forms"/>
  </ds:schemaRefs>
</ds:datastoreItem>
</file>

<file path=customXml/itemProps3.xml><?xml version="1.0" encoding="utf-8"?>
<ds:datastoreItem xmlns:ds="http://schemas.openxmlformats.org/officeDocument/2006/customXml" ds:itemID="{811B08E8-6571-4E7D-A03D-9D1419DB6606}">
  <ds:schemaRefs>
    <ds:schemaRef ds:uri="http://schemas.microsoft.com/office/2006/metadata/properties"/>
    <ds:schemaRef ds:uri="http://schemas.microsoft.com/office/infopath/2007/PartnerControls"/>
    <ds:schemaRef ds:uri="b92ba55a-3948-4701-b8e1-a8eb807798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Dickson</dc:creator>
  <cp:keywords/>
  <dc:description/>
  <cp:lastModifiedBy>Aileen McGarry</cp:lastModifiedBy>
  <cp:revision>2</cp:revision>
  <cp:lastPrinted>2026-10-09T08:31:00Z</cp:lastPrinted>
  <dcterms:created xsi:type="dcterms:W3CDTF">2026-10-29T11:27:00Z</dcterms:created>
  <dcterms:modified xsi:type="dcterms:W3CDTF">2026-10-29T11:27:00Z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0x010100363E885E0A73E64FB92CC853B60301BE</vt:lpwstr>
  </property>
</Properties>
</file>