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F9" w:rsidRDefault="00187FF6" w:rsidP="009801F9">
      <w:pPr>
        <w:spacing w:line="276" w:lineRule="auto"/>
        <w:rPr>
          <w:rFonts w:ascii="Arial" w:hAnsi="Arial" w:cs="Arial"/>
          <w:b/>
        </w:rPr>
      </w:pPr>
      <w:bookmarkStart w:id="0" w:name="_GoBack"/>
      <w:bookmarkEnd w:id="0"/>
      <w:r>
        <w:rPr>
          <w:noProof/>
          <w:lang w:eastAsia="en-GB"/>
        </w:rPr>
        <w:drawing>
          <wp:anchor distT="0" distB="0" distL="114300" distR="114300" simplePos="0" relativeHeight="251658240" behindDoc="0" locked="0" layoutInCell="1" allowOverlap="1">
            <wp:simplePos x="914400" y="617220"/>
            <wp:positionH relativeFrom="column">
              <wp:align>left</wp:align>
            </wp:positionH>
            <wp:positionV relativeFrom="paragraph">
              <wp:align>top</wp:align>
            </wp:positionV>
            <wp:extent cx="3058455" cy="100584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G-Logo.jpg"/>
                    <pic:cNvPicPr/>
                  </pic:nvPicPr>
                  <pic:blipFill>
                    <a:blip r:embed="rId8">
                      <a:extLst>
                        <a:ext uri="{28A0092B-C50C-407E-A947-70E740481C1C}">
                          <a14:useLocalDpi xmlns:a14="http://schemas.microsoft.com/office/drawing/2010/main" val="0"/>
                        </a:ext>
                      </a:extLst>
                    </a:blip>
                    <a:stretch>
                      <a:fillRect/>
                    </a:stretch>
                  </pic:blipFill>
                  <pic:spPr>
                    <a:xfrm>
                      <a:off x="0" y="0"/>
                      <a:ext cx="3058455" cy="1005840"/>
                    </a:xfrm>
                    <a:prstGeom prst="rect">
                      <a:avLst/>
                    </a:prstGeom>
                  </pic:spPr>
                </pic:pic>
              </a:graphicData>
            </a:graphic>
          </wp:anchor>
        </w:drawing>
      </w:r>
      <w:r w:rsidR="00802D23">
        <w:rPr>
          <w:rFonts w:ascii="Arial" w:hAnsi="Arial" w:cs="Arial"/>
          <w:b/>
        </w:rPr>
        <w:br w:type="textWrapping" w:clear="all"/>
      </w:r>
    </w:p>
    <w:p w:rsidR="00AE0159" w:rsidRPr="00F903BC" w:rsidRDefault="00802D23" w:rsidP="00802D23">
      <w:pPr>
        <w:spacing w:line="276" w:lineRule="auto"/>
        <w:rPr>
          <w:rFonts w:ascii="Arial" w:hAnsi="Arial" w:cs="Arial"/>
          <w:b/>
          <w:sz w:val="24"/>
          <w:szCs w:val="24"/>
        </w:rPr>
      </w:pPr>
      <w:r w:rsidRPr="00F903BC">
        <w:rPr>
          <w:rFonts w:ascii="Arial" w:hAnsi="Arial" w:cs="Arial"/>
          <w:b/>
          <w:sz w:val="24"/>
          <w:szCs w:val="24"/>
        </w:rPr>
        <w:t>To: Corporate Policy &amp; Resources Committee</w:t>
      </w:r>
      <w:r w:rsidR="00954BB0" w:rsidRPr="00F903BC">
        <w:rPr>
          <w:rFonts w:ascii="Arial" w:hAnsi="Arial" w:cs="Arial"/>
          <w:b/>
          <w:sz w:val="24"/>
          <w:szCs w:val="24"/>
        </w:rPr>
        <w:tab/>
      </w:r>
      <w:r w:rsidR="00954BB0" w:rsidRPr="00F903BC">
        <w:rPr>
          <w:rFonts w:ascii="Arial" w:hAnsi="Arial" w:cs="Arial"/>
          <w:b/>
          <w:sz w:val="24"/>
          <w:szCs w:val="24"/>
        </w:rPr>
        <w:tab/>
      </w:r>
      <w:r w:rsidRPr="00F903BC">
        <w:rPr>
          <w:rFonts w:ascii="Arial" w:hAnsi="Arial" w:cs="Arial"/>
          <w:b/>
          <w:sz w:val="24"/>
          <w:szCs w:val="24"/>
        </w:rPr>
        <w:t>Date: 18 October 2016</w:t>
      </w:r>
      <w:r w:rsidR="00954BB0" w:rsidRPr="00F903BC">
        <w:rPr>
          <w:rFonts w:ascii="Arial" w:hAnsi="Arial" w:cs="Arial"/>
          <w:b/>
          <w:sz w:val="24"/>
          <w:szCs w:val="24"/>
        </w:rPr>
        <w:tab/>
        <w:t xml:space="preserve">                    </w:t>
      </w:r>
      <w:r w:rsidRPr="00F903BC">
        <w:rPr>
          <w:rFonts w:ascii="Arial" w:hAnsi="Arial" w:cs="Arial"/>
          <w:b/>
          <w:sz w:val="24"/>
          <w:szCs w:val="24"/>
        </w:rPr>
        <w:t xml:space="preserve"> </w:t>
      </w:r>
    </w:p>
    <w:p w:rsidR="004B09D9" w:rsidRPr="00F903BC" w:rsidRDefault="00C75787" w:rsidP="009801F9">
      <w:pPr>
        <w:spacing w:line="276" w:lineRule="auto"/>
        <w:rPr>
          <w:rFonts w:ascii="Arial" w:hAnsi="Arial" w:cs="Arial"/>
          <w:b/>
          <w:sz w:val="24"/>
          <w:szCs w:val="24"/>
        </w:rPr>
      </w:pPr>
      <w:r w:rsidRPr="00F903BC">
        <w:rPr>
          <w:rFonts w:ascii="Arial" w:hAnsi="Arial" w:cs="Arial"/>
          <w:b/>
          <w:sz w:val="24"/>
          <w:szCs w:val="24"/>
        </w:rPr>
        <w:t xml:space="preserve">Correspondence report </w:t>
      </w:r>
      <w:r w:rsidR="00F903BC" w:rsidRPr="00F903BC">
        <w:rPr>
          <w:rFonts w:ascii="Arial" w:hAnsi="Arial" w:cs="Arial"/>
          <w:i/>
          <w:sz w:val="24"/>
          <w:szCs w:val="24"/>
        </w:rPr>
        <w:t>(copies available from Democratic Services upon request)</w:t>
      </w:r>
      <w:r w:rsidR="00F903BC" w:rsidRPr="00F903BC">
        <w:rPr>
          <w:rFonts w:ascii="Arial" w:hAnsi="Arial" w:cs="Arial"/>
          <w:b/>
          <w:sz w:val="24"/>
          <w:szCs w:val="24"/>
        </w:rPr>
        <w:t xml:space="preserve"> </w:t>
      </w:r>
    </w:p>
    <w:p w:rsidR="00C42EC3" w:rsidRDefault="00C42EC3" w:rsidP="009801F9">
      <w:pPr>
        <w:spacing w:line="276" w:lineRule="auto"/>
        <w:rPr>
          <w:rFonts w:ascii="Arial" w:hAnsi="Arial" w:cs="Arial"/>
          <w:i/>
        </w:rPr>
      </w:pPr>
    </w:p>
    <w:tbl>
      <w:tblPr>
        <w:tblStyle w:val="TableGrid"/>
        <w:tblW w:w="10423" w:type="dxa"/>
        <w:tblInd w:w="-431" w:type="dxa"/>
        <w:tblLook w:val="04A0" w:firstRow="1" w:lastRow="0" w:firstColumn="1" w:lastColumn="0" w:noHBand="0" w:noVBand="1"/>
      </w:tblPr>
      <w:tblGrid>
        <w:gridCol w:w="634"/>
        <w:gridCol w:w="8040"/>
        <w:gridCol w:w="1749"/>
      </w:tblGrid>
      <w:tr w:rsidR="00323BDD" w:rsidRPr="008071BD" w:rsidTr="0098376A">
        <w:tc>
          <w:tcPr>
            <w:tcW w:w="507" w:type="dxa"/>
          </w:tcPr>
          <w:p w:rsidR="00C42EC3" w:rsidRPr="008071BD" w:rsidRDefault="000C6BD8" w:rsidP="00AE77F8">
            <w:pPr>
              <w:pStyle w:val="ListParagraph"/>
              <w:spacing w:line="276" w:lineRule="auto"/>
              <w:ind w:left="0"/>
              <w:jc w:val="center"/>
              <w:rPr>
                <w:rFonts w:ascii="Arial" w:hAnsi="Arial" w:cs="Arial"/>
                <w:b/>
                <w:sz w:val="24"/>
                <w:szCs w:val="24"/>
              </w:rPr>
            </w:pPr>
            <w:r>
              <w:rPr>
                <w:rFonts w:ascii="Arial" w:hAnsi="Arial" w:cs="Arial"/>
                <w:b/>
                <w:sz w:val="24"/>
                <w:szCs w:val="24"/>
              </w:rPr>
              <w:t>1</w:t>
            </w:r>
          </w:p>
        </w:tc>
        <w:tc>
          <w:tcPr>
            <w:tcW w:w="8167" w:type="dxa"/>
          </w:tcPr>
          <w:p w:rsidR="00C42EC3" w:rsidRPr="008071BD" w:rsidRDefault="00802D23" w:rsidP="00802D23">
            <w:pPr>
              <w:pStyle w:val="ListParagraph"/>
              <w:spacing w:line="276" w:lineRule="auto"/>
              <w:ind w:left="0"/>
              <w:rPr>
                <w:rFonts w:ascii="Arial" w:hAnsi="Arial" w:cs="Arial"/>
                <w:b/>
                <w:sz w:val="24"/>
                <w:szCs w:val="24"/>
              </w:rPr>
            </w:pPr>
            <w:r>
              <w:rPr>
                <w:rFonts w:ascii="Arial" w:hAnsi="Arial" w:cs="Arial"/>
                <w:b/>
                <w:sz w:val="24"/>
                <w:szCs w:val="24"/>
              </w:rPr>
              <w:t xml:space="preserve">Northern Ireland Assembly Call for Evidence: Non-Domestic Rating System in Northern Ireland (Committee For Finance) </w:t>
            </w:r>
          </w:p>
        </w:tc>
        <w:tc>
          <w:tcPr>
            <w:tcW w:w="1749" w:type="dxa"/>
          </w:tcPr>
          <w:p w:rsidR="00C42EC3" w:rsidRPr="008071BD" w:rsidRDefault="00C42EC3" w:rsidP="003F64C9">
            <w:pPr>
              <w:pStyle w:val="ListParagraph"/>
              <w:spacing w:line="276" w:lineRule="auto"/>
              <w:ind w:left="0"/>
              <w:jc w:val="center"/>
              <w:rPr>
                <w:rFonts w:ascii="Arial" w:hAnsi="Arial" w:cs="Arial"/>
                <w:b/>
                <w:sz w:val="24"/>
                <w:szCs w:val="24"/>
              </w:rPr>
            </w:pPr>
          </w:p>
        </w:tc>
      </w:tr>
      <w:tr w:rsidR="00323BDD" w:rsidRPr="008071BD" w:rsidTr="0098376A">
        <w:tc>
          <w:tcPr>
            <w:tcW w:w="507" w:type="dxa"/>
          </w:tcPr>
          <w:p w:rsidR="00C42EC3" w:rsidRPr="008071BD" w:rsidRDefault="00C42EC3" w:rsidP="00AE77F8">
            <w:pPr>
              <w:pStyle w:val="ListParagraph"/>
              <w:spacing w:line="276" w:lineRule="auto"/>
              <w:ind w:left="284"/>
              <w:jc w:val="center"/>
              <w:rPr>
                <w:rFonts w:ascii="Arial" w:hAnsi="Arial" w:cs="Arial"/>
                <w:b/>
                <w:sz w:val="24"/>
                <w:szCs w:val="24"/>
              </w:rPr>
            </w:pPr>
          </w:p>
        </w:tc>
        <w:tc>
          <w:tcPr>
            <w:tcW w:w="8167" w:type="dxa"/>
          </w:tcPr>
          <w:p w:rsidR="00802D23" w:rsidRDefault="00802D23" w:rsidP="006D713A">
            <w:pPr>
              <w:spacing w:line="276" w:lineRule="auto"/>
              <w:rPr>
                <w:rFonts w:ascii="Arial" w:hAnsi="Arial" w:cs="Arial"/>
                <w:sz w:val="24"/>
                <w:szCs w:val="24"/>
              </w:rPr>
            </w:pPr>
            <w:r>
              <w:rPr>
                <w:rFonts w:ascii="Arial" w:hAnsi="Arial" w:cs="Arial"/>
                <w:sz w:val="24"/>
                <w:szCs w:val="24"/>
              </w:rPr>
              <w:t>The Committee is keen to identify the issues facing businesses across all sectors in order to gain an understanding in advance of any policy proposals.</w:t>
            </w:r>
          </w:p>
          <w:p w:rsidR="00802D23" w:rsidRDefault="00802D23" w:rsidP="006D713A">
            <w:pPr>
              <w:spacing w:line="276" w:lineRule="auto"/>
              <w:rPr>
                <w:rFonts w:ascii="Arial" w:hAnsi="Arial" w:cs="Arial"/>
                <w:sz w:val="24"/>
                <w:szCs w:val="24"/>
              </w:rPr>
            </w:pPr>
          </w:p>
          <w:p w:rsidR="00802D23" w:rsidRDefault="00802D23" w:rsidP="006D713A">
            <w:pPr>
              <w:spacing w:line="276" w:lineRule="auto"/>
              <w:rPr>
                <w:rFonts w:ascii="Arial" w:hAnsi="Arial" w:cs="Arial"/>
                <w:sz w:val="24"/>
                <w:szCs w:val="24"/>
              </w:rPr>
            </w:pPr>
            <w:r>
              <w:rPr>
                <w:rFonts w:ascii="Arial" w:hAnsi="Arial" w:cs="Arial"/>
                <w:sz w:val="24"/>
                <w:szCs w:val="24"/>
              </w:rPr>
              <w:t>The Department of Finance is currently undertaking a review of the Non-Domestic Rating System in NI which will form the basis of future policy proposals for reform. Council’s evidence will assist the Committee in fulfilling its scrutiny and policy development role.</w:t>
            </w:r>
          </w:p>
          <w:p w:rsidR="004058BC" w:rsidRPr="008071BD" w:rsidRDefault="004058BC" w:rsidP="006D713A">
            <w:pPr>
              <w:spacing w:line="276" w:lineRule="auto"/>
              <w:rPr>
                <w:rFonts w:ascii="Arial" w:hAnsi="Arial" w:cs="Arial"/>
                <w:sz w:val="24"/>
                <w:szCs w:val="24"/>
              </w:rPr>
            </w:pPr>
          </w:p>
        </w:tc>
        <w:tc>
          <w:tcPr>
            <w:tcW w:w="1749" w:type="dxa"/>
          </w:tcPr>
          <w:p w:rsidR="00C42EC3" w:rsidRDefault="00C42EC3" w:rsidP="003F64C9">
            <w:pPr>
              <w:spacing w:line="276" w:lineRule="auto"/>
              <w:jc w:val="center"/>
              <w:rPr>
                <w:rFonts w:ascii="Arial" w:hAnsi="Arial" w:cs="Arial"/>
                <w:sz w:val="24"/>
                <w:szCs w:val="24"/>
              </w:rPr>
            </w:pPr>
          </w:p>
          <w:p w:rsidR="002C63D2" w:rsidRDefault="00F903BC" w:rsidP="003F64C9">
            <w:pPr>
              <w:spacing w:line="276" w:lineRule="auto"/>
              <w:jc w:val="center"/>
              <w:rPr>
                <w:rFonts w:ascii="Arial" w:hAnsi="Arial" w:cs="Arial"/>
                <w:sz w:val="24"/>
                <w:szCs w:val="24"/>
              </w:rPr>
            </w:pPr>
            <w:r>
              <w:rPr>
                <w:rFonts w:ascii="Arial" w:hAnsi="Arial" w:cs="Arial"/>
                <w:sz w:val="24"/>
                <w:szCs w:val="24"/>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9" o:title=""/>
                </v:shape>
                <o:OLEObject Type="Link" ProgID="AcroExch.Document.11" ShapeID="_x0000_i1025" DrawAspect="Icon" r:id="rId10" UpdateMode="Always">
                  <o:LinkType>EnhancedMetaFile</o:LinkType>
                  <o:LockedField>false</o:LockedField>
                  <o:FieldCodes>\f 0</o:FieldCodes>
                </o:OLEObject>
              </w:object>
            </w:r>
          </w:p>
          <w:p w:rsidR="002C63D2" w:rsidRPr="008071BD" w:rsidRDefault="002C63D2" w:rsidP="003F64C9">
            <w:pPr>
              <w:spacing w:line="276" w:lineRule="auto"/>
              <w:jc w:val="center"/>
              <w:rPr>
                <w:rFonts w:ascii="Arial" w:hAnsi="Arial" w:cs="Arial"/>
                <w:sz w:val="24"/>
                <w:szCs w:val="24"/>
              </w:rPr>
            </w:pPr>
          </w:p>
        </w:tc>
      </w:tr>
      <w:tr w:rsidR="00F903BC" w:rsidRPr="008071BD" w:rsidTr="0098376A">
        <w:tc>
          <w:tcPr>
            <w:tcW w:w="507" w:type="dxa"/>
          </w:tcPr>
          <w:p w:rsidR="00F903BC" w:rsidRPr="008071BD" w:rsidRDefault="00F903BC" w:rsidP="00AE77F8">
            <w:pPr>
              <w:pStyle w:val="ListParagraph"/>
              <w:spacing w:line="276" w:lineRule="auto"/>
              <w:ind w:left="284"/>
              <w:jc w:val="center"/>
              <w:rPr>
                <w:rFonts w:ascii="Arial" w:hAnsi="Arial" w:cs="Arial"/>
                <w:b/>
                <w:sz w:val="24"/>
                <w:szCs w:val="24"/>
              </w:rPr>
            </w:pPr>
            <w:r>
              <w:rPr>
                <w:rFonts w:ascii="Arial" w:hAnsi="Arial" w:cs="Arial"/>
                <w:b/>
                <w:sz w:val="24"/>
                <w:szCs w:val="24"/>
              </w:rPr>
              <w:t>2</w:t>
            </w:r>
          </w:p>
        </w:tc>
        <w:tc>
          <w:tcPr>
            <w:tcW w:w="8167" w:type="dxa"/>
          </w:tcPr>
          <w:p w:rsidR="00F903BC" w:rsidRPr="00F903BC" w:rsidRDefault="00F903BC" w:rsidP="006D713A">
            <w:pPr>
              <w:spacing w:line="276" w:lineRule="auto"/>
              <w:rPr>
                <w:rFonts w:ascii="Arial" w:hAnsi="Arial" w:cs="Arial"/>
                <w:b/>
                <w:sz w:val="24"/>
                <w:szCs w:val="24"/>
              </w:rPr>
            </w:pPr>
            <w:r w:rsidRPr="00F903BC">
              <w:rPr>
                <w:rFonts w:ascii="Arial" w:hAnsi="Arial" w:cs="Arial"/>
                <w:b/>
                <w:sz w:val="24"/>
                <w:szCs w:val="24"/>
              </w:rPr>
              <w:t xml:space="preserve">Department for Communities </w:t>
            </w:r>
            <w:r>
              <w:rPr>
                <w:rFonts w:ascii="Arial" w:hAnsi="Arial" w:cs="Arial"/>
                <w:b/>
                <w:sz w:val="24"/>
                <w:szCs w:val="24"/>
              </w:rPr>
              <w:t xml:space="preserve">- </w:t>
            </w:r>
            <w:r w:rsidRPr="00F903BC">
              <w:rPr>
                <w:rFonts w:ascii="Arial" w:hAnsi="Arial" w:cs="Arial"/>
                <w:b/>
                <w:sz w:val="24"/>
                <w:szCs w:val="24"/>
              </w:rPr>
              <w:t>Proposed amendments to Councillor Allowance Guidance in respect of flexibility of councils paying for councillor broadband, telephone calls and mobile data costs</w:t>
            </w:r>
          </w:p>
        </w:tc>
        <w:tc>
          <w:tcPr>
            <w:tcW w:w="1749" w:type="dxa"/>
          </w:tcPr>
          <w:p w:rsidR="00F903BC" w:rsidRDefault="00F903BC" w:rsidP="003F64C9">
            <w:pPr>
              <w:spacing w:line="276" w:lineRule="auto"/>
              <w:jc w:val="center"/>
              <w:rPr>
                <w:rFonts w:ascii="Arial" w:hAnsi="Arial" w:cs="Arial"/>
                <w:sz w:val="24"/>
                <w:szCs w:val="24"/>
              </w:rPr>
            </w:pPr>
          </w:p>
        </w:tc>
      </w:tr>
      <w:tr w:rsidR="00F903BC" w:rsidRPr="008071BD" w:rsidTr="0098376A">
        <w:tc>
          <w:tcPr>
            <w:tcW w:w="507" w:type="dxa"/>
          </w:tcPr>
          <w:p w:rsidR="00F903BC" w:rsidRDefault="00F903BC" w:rsidP="00AE77F8">
            <w:pPr>
              <w:pStyle w:val="ListParagraph"/>
              <w:spacing w:line="276" w:lineRule="auto"/>
              <w:ind w:left="284"/>
              <w:jc w:val="center"/>
              <w:rPr>
                <w:rFonts w:ascii="Arial" w:hAnsi="Arial" w:cs="Arial"/>
                <w:b/>
                <w:sz w:val="24"/>
                <w:szCs w:val="24"/>
              </w:rPr>
            </w:pPr>
          </w:p>
        </w:tc>
        <w:tc>
          <w:tcPr>
            <w:tcW w:w="8167" w:type="dxa"/>
          </w:tcPr>
          <w:p w:rsidR="00F903BC" w:rsidRDefault="00F903BC" w:rsidP="00F903BC">
            <w:pPr>
              <w:spacing w:line="276" w:lineRule="auto"/>
              <w:rPr>
                <w:rFonts w:ascii="Arial" w:hAnsi="Arial" w:cs="Arial"/>
                <w:sz w:val="24"/>
                <w:szCs w:val="24"/>
              </w:rPr>
            </w:pPr>
            <w:r w:rsidRPr="00F903BC">
              <w:rPr>
                <w:rFonts w:ascii="Arial" w:hAnsi="Arial" w:cs="Arial"/>
                <w:sz w:val="24"/>
                <w:szCs w:val="24"/>
              </w:rPr>
              <w:t xml:space="preserve">The provision of broadband </w:t>
            </w:r>
            <w:proofErr w:type="spellStart"/>
            <w:r w:rsidRPr="00F903BC">
              <w:rPr>
                <w:rFonts w:ascii="Arial" w:hAnsi="Arial" w:cs="Arial"/>
                <w:sz w:val="24"/>
                <w:szCs w:val="24"/>
              </w:rPr>
              <w:t>etc</w:t>
            </w:r>
            <w:proofErr w:type="spellEnd"/>
            <w:r w:rsidRPr="00F903BC">
              <w:rPr>
                <w:rFonts w:ascii="Arial" w:hAnsi="Arial" w:cs="Arial"/>
                <w:sz w:val="24"/>
                <w:szCs w:val="24"/>
              </w:rPr>
              <w:t xml:space="preserve"> was discussed at a meeting with the Minister for Communities on 9 August 2016. A letter seeking views on the proposed rewording of the associated guidance was then issued by the Department to interested parties on 2 September 2016.</w:t>
            </w:r>
          </w:p>
          <w:p w:rsidR="00F903BC" w:rsidRPr="00F903BC" w:rsidRDefault="00F903BC" w:rsidP="00F903BC">
            <w:pPr>
              <w:spacing w:line="276" w:lineRule="auto"/>
              <w:rPr>
                <w:rFonts w:ascii="Arial" w:hAnsi="Arial" w:cs="Arial"/>
                <w:sz w:val="24"/>
                <w:szCs w:val="24"/>
              </w:rPr>
            </w:pPr>
          </w:p>
          <w:p w:rsidR="00F903BC" w:rsidRDefault="00F903BC" w:rsidP="00F903BC">
            <w:pPr>
              <w:spacing w:line="276" w:lineRule="auto"/>
              <w:rPr>
                <w:rFonts w:ascii="Arial" w:hAnsi="Arial" w:cs="Arial"/>
                <w:sz w:val="24"/>
                <w:szCs w:val="24"/>
              </w:rPr>
            </w:pPr>
            <w:r w:rsidRPr="00F903BC">
              <w:rPr>
                <w:rFonts w:ascii="Arial" w:hAnsi="Arial" w:cs="Arial"/>
                <w:sz w:val="24"/>
                <w:szCs w:val="24"/>
              </w:rPr>
              <w:t>Following consideration of the views received the proposed wording in the guidance has been further refined, as shown in the Annex. The refinement means that councils will have the flexibility to cover the costs of councillor broadband and mobile data, as required for council business, but will not be able to cover the costs of telephone calls except where those calls are an integral part of a communications bundle.</w:t>
            </w:r>
          </w:p>
          <w:p w:rsidR="00F903BC" w:rsidRPr="00F903BC" w:rsidRDefault="00F903BC" w:rsidP="00F903BC">
            <w:pPr>
              <w:spacing w:line="276" w:lineRule="auto"/>
              <w:rPr>
                <w:rFonts w:ascii="Arial" w:hAnsi="Arial" w:cs="Arial"/>
                <w:sz w:val="24"/>
                <w:szCs w:val="24"/>
              </w:rPr>
            </w:pPr>
          </w:p>
          <w:p w:rsidR="00F903BC" w:rsidRDefault="00F903BC" w:rsidP="00F903BC">
            <w:pPr>
              <w:spacing w:line="276" w:lineRule="auto"/>
              <w:rPr>
                <w:rFonts w:ascii="Arial" w:hAnsi="Arial" w:cs="Arial"/>
                <w:sz w:val="24"/>
                <w:szCs w:val="24"/>
              </w:rPr>
            </w:pPr>
            <w:r w:rsidRPr="00F903BC">
              <w:rPr>
                <w:rFonts w:ascii="Arial" w:hAnsi="Arial" w:cs="Arial"/>
                <w:sz w:val="24"/>
                <w:szCs w:val="24"/>
              </w:rPr>
              <w:t>The cost of any telephone calls would remain, as it has been historically and currently, the responsibility of a councillor to be paid out of the basic allowance which now includes the £1,000 consumables element. The £1,000 uplift should provide sufficient scope to cover the cost of any telephone calls including the costs of a</w:t>
            </w:r>
            <w:r>
              <w:rPr>
                <w:rFonts w:ascii="Arial" w:hAnsi="Arial" w:cs="Arial"/>
                <w:sz w:val="24"/>
                <w:szCs w:val="24"/>
              </w:rPr>
              <w:t>ny other necessary consumables.</w:t>
            </w:r>
          </w:p>
          <w:p w:rsidR="00F903BC" w:rsidRDefault="00F903BC" w:rsidP="00F903BC">
            <w:pPr>
              <w:spacing w:line="276" w:lineRule="auto"/>
              <w:rPr>
                <w:rFonts w:ascii="Arial" w:hAnsi="Arial" w:cs="Arial"/>
                <w:sz w:val="24"/>
                <w:szCs w:val="24"/>
              </w:rPr>
            </w:pPr>
          </w:p>
        </w:tc>
        <w:tc>
          <w:tcPr>
            <w:tcW w:w="1749" w:type="dxa"/>
          </w:tcPr>
          <w:p w:rsidR="00F903BC" w:rsidRDefault="00F903BC" w:rsidP="003F64C9">
            <w:pPr>
              <w:spacing w:line="276" w:lineRule="auto"/>
              <w:jc w:val="center"/>
              <w:rPr>
                <w:rFonts w:ascii="Arial" w:hAnsi="Arial" w:cs="Arial"/>
                <w:sz w:val="24"/>
                <w:szCs w:val="24"/>
              </w:rPr>
            </w:pPr>
            <w:r>
              <w:rPr>
                <w:rFonts w:ascii="Arial" w:hAnsi="Arial" w:cs="Arial"/>
                <w:sz w:val="24"/>
                <w:szCs w:val="24"/>
              </w:rPr>
              <w:object w:dxaOrig="1513" w:dyaOrig="984">
                <v:shape id="_x0000_i1026" type="#_x0000_t75" style="width:75.6pt;height:49.2pt" o:ole="">
                  <v:imagedata r:id="rId11" o:title=""/>
                </v:shape>
                <o:OLEObject Type="Link" ProgID="AcroExch.Document.11" ShapeID="_x0000_i1026" DrawAspect="Icon" r:id="rId12" UpdateMode="Always">
                  <o:LinkType>EnhancedMetaFile</o:LinkType>
                  <o:LockedField>false</o:LockedField>
                  <o:FieldCodes>\f 0</o:FieldCodes>
                </o:OLEObject>
              </w:object>
            </w:r>
          </w:p>
        </w:tc>
      </w:tr>
      <w:tr w:rsidR="00F903BC" w:rsidRPr="008071BD" w:rsidTr="0098376A">
        <w:tc>
          <w:tcPr>
            <w:tcW w:w="507" w:type="dxa"/>
          </w:tcPr>
          <w:p w:rsidR="00F903BC" w:rsidRDefault="00F903BC" w:rsidP="00AE77F8">
            <w:pPr>
              <w:pStyle w:val="ListParagraph"/>
              <w:spacing w:line="276" w:lineRule="auto"/>
              <w:ind w:left="284"/>
              <w:jc w:val="center"/>
              <w:rPr>
                <w:rFonts w:ascii="Arial" w:hAnsi="Arial" w:cs="Arial"/>
                <w:b/>
                <w:sz w:val="24"/>
                <w:szCs w:val="24"/>
              </w:rPr>
            </w:pPr>
            <w:r>
              <w:rPr>
                <w:rFonts w:ascii="Arial" w:hAnsi="Arial" w:cs="Arial"/>
                <w:b/>
                <w:sz w:val="24"/>
                <w:szCs w:val="24"/>
              </w:rPr>
              <w:lastRenderedPageBreak/>
              <w:t>3</w:t>
            </w:r>
          </w:p>
        </w:tc>
        <w:tc>
          <w:tcPr>
            <w:tcW w:w="8167" w:type="dxa"/>
          </w:tcPr>
          <w:p w:rsidR="00F903BC" w:rsidRPr="00F903BC" w:rsidRDefault="00F903BC" w:rsidP="00F903BC">
            <w:pPr>
              <w:pStyle w:val="Default"/>
              <w:rPr>
                <w:rFonts w:ascii="Arial" w:hAnsi="Arial" w:cs="Arial"/>
                <w:b/>
              </w:rPr>
            </w:pPr>
            <w:r w:rsidRPr="00F903BC">
              <w:rPr>
                <w:rFonts w:ascii="Arial" w:hAnsi="Arial" w:cs="Arial"/>
                <w:b/>
              </w:rPr>
              <w:t xml:space="preserve">Department for Communities - </w:t>
            </w:r>
            <w:r w:rsidRPr="00F903BC">
              <w:rPr>
                <w:rFonts w:ascii="Arial" w:hAnsi="Arial" w:cs="Arial"/>
                <w:b/>
                <w:bCs/>
                <w:sz w:val="23"/>
                <w:szCs w:val="23"/>
              </w:rPr>
              <w:t>Addenda To Guidance On Councillor Allowances</w:t>
            </w:r>
          </w:p>
        </w:tc>
        <w:tc>
          <w:tcPr>
            <w:tcW w:w="1749" w:type="dxa"/>
          </w:tcPr>
          <w:p w:rsidR="00F903BC" w:rsidRDefault="00F903BC" w:rsidP="003F64C9">
            <w:pPr>
              <w:spacing w:line="276" w:lineRule="auto"/>
              <w:jc w:val="center"/>
              <w:rPr>
                <w:rFonts w:ascii="Arial" w:hAnsi="Arial" w:cs="Arial"/>
                <w:sz w:val="24"/>
                <w:szCs w:val="24"/>
              </w:rPr>
            </w:pPr>
          </w:p>
        </w:tc>
      </w:tr>
      <w:tr w:rsidR="00F903BC" w:rsidRPr="008071BD" w:rsidTr="0098376A">
        <w:tc>
          <w:tcPr>
            <w:tcW w:w="507" w:type="dxa"/>
          </w:tcPr>
          <w:p w:rsidR="00F903BC" w:rsidRDefault="00F903BC" w:rsidP="00AE77F8">
            <w:pPr>
              <w:pStyle w:val="ListParagraph"/>
              <w:spacing w:line="276" w:lineRule="auto"/>
              <w:ind w:left="284"/>
              <w:jc w:val="center"/>
              <w:rPr>
                <w:rFonts w:ascii="Arial" w:hAnsi="Arial" w:cs="Arial"/>
                <w:b/>
                <w:sz w:val="24"/>
                <w:szCs w:val="24"/>
              </w:rPr>
            </w:pPr>
          </w:p>
        </w:tc>
        <w:tc>
          <w:tcPr>
            <w:tcW w:w="8167" w:type="dxa"/>
          </w:tcPr>
          <w:p w:rsidR="00F903BC" w:rsidRDefault="00F903BC" w:rsidP="00F903BC">
            <w:pPr>
              <w:autoSpaceDE w:val="0"/>
              <w:autoSpaceDN w:val="0"/>
              <w:adjustRightInd w:val="0"/>
              <w:rPr>
                <w:rFonts w:ascii="Arial" w:hAnsi="Arial" w:cs="Arial"/>
                <w:color w:val="000000"/>
                <w:sz w:val="23"/>
                <w:szCs w:val="23"/>
              </w:rPr>
            </w:pPr>
            <w:r w:rsidRPr="00F903BC">
              <w:rPr>
                <w:rFonts w:ascii="Arial" w:hAnsi="Arial" w:cs="Arial"/>
                <w:color w:val="000000"/>
                <w:sz w:val="23"/>
                <w:szCs w:val="23"/>
              </w:rPr>
              <w:t xml:space="preserve">Please find attached, amendments to Paragraph 7 (iv), Dependants’ Carers’ Allowance, and Paragraph 8 (iii), Travel and Subsistence Allowances of the Guidance on Councillor Allowances as issued on 24 February 2015. </w:t>
            </w:r>
          </w:p>
          <w:p w:rsidR="00F903BC" w:rsidRPr="00F903BC" w:rsidRDefault="00F903BC" w:rsidP="00F903BC">
            <w:pPr>
              <w:autoSpaceDE w:val="0"/>
              <w:autoSpaceDN w:val="0"/>
              <w:adjustRightInd w:val="0"/>
              <w:rPr>
                <w:rFonts w:ascii="Arial" w:hAnsi="Arial" w:cs="Arial"/>
                <w:color w:val="000000"/>
                <w:sz w:val="24"/>
                <w:szCs w:val="24"/>
              </w:rPr>
            </w:pPr>
          </w:p>
          <w:p w:rsidR="00F903BC" w:rsidRPr="00F903BC" w:rsidRDefault="00F903BC" w:rsidP="00F903BC">
            <w:pPr>
              <w:autoSpaceDE w:val="0"/>
              <w:autoSpaceDN w:val="0"/>
              <w:adjustRightInd w:val="0"/>
              <w:rPr>
                <w:rFonts w:ascii="Arial" w:hAnsi="Arial" w:cs="Arial"/>
                <w:color w:val="000000"/>
                <w:sz w:val="23"/>
                <w:szCs w:val="23"/>
              </w:rPr>
            </w:pPr>
            <w:r w:rsidRPr="00F903BC">
              <w:rPr>
                <w:rFonts w:ascii="Arial" w:hAnsi="Arial" w:cs="Arial"/>
                <w:color w:val="000000"/>
                <w:sz w:val="23"/>
                <w:szCs w:val="23"/>
              </w:rPr>
              <w:t xml:space="preserve">2. The amendment to Paragraph 7 (iv) which is back dated to 1 April 2016 provides a wider definition of a </w:t>
            </w:r>
            <w:proofErr w:type="spellStart"/>
            <w:r w:rsidRPr="00F903BC">
              <w:rPr>
                <w:rFonts w:ascii="Arial" w:hAnsi="Arial" w:cs="Arial"/>
                <w:color w:val="000000"/>
                <w:sz w:val="23"/>
                <w:szCs w:val="23"/>
              </w:rPr>
              <w:t>carer</w:t>
            </w:r>
            <w:proofErr w:type="spellEnd"/>
            <w:r w:rsidRPr="00F903BC">
              <w:rPr>
                <w:rFonts w:ascii="Arial" w:hAnsi="Arial" w:cs="Arial"/>
                <w:color w:val="000000"/>
                <w:sz w:val="23"/>
                <w:szCs w:val="23"/>
              </w:rPr>
              <w:t xml:space="preserve"> in the context of Dependants’ Carers’ Allowance and supersedes the first Addendum to Paragraph 7 which was issued on 20 March 2016. </w:t>
            </w:r>
          </w:p>
          <w:p w:rsidR="00F903BC" w:rsidRPr="00F903BC" w:rsidRDefault="00F903BC" w:rsidP="00F903BC">
            <w:pPr>
              <w:autoSpaceDE w:val="0"/>
              <w:autoSpaceDN w:val="0"/>
              <w:adjustRightInd w:val="0"/>
              <w:rPr>
                <w:rFonts w:ascii="Arial" w:hAnsi="Arial" w:cs="Arial"/>
                <w:color w:val="000000"/>
                <w:sz w:val="23"/>
                <w:szCs w:val="23"/>
              </w:rPr>
            </w:pPr>
          </w:p>
          <w:p w:rsidR="00F903BC" w:rsidRPr="00F903BC" w:rsidRDefault="00F903BC" w:rsidP="00F903BC">
            <w:pPr>
              <w:autoSpaceDE w:val="0"/>
              <w:autoSpaceDN w:val="0"/>
              <w:adjustRightInd w:val="0"/>
              <w:rPr>
                <w:rFonts w:ascii="Arial" w:hAnsi="Arial" w:cs="Arial"/>
                <w:color w:val="000000"/>
                <w:sz w:val="23"/>
                <w:szCs w:val="23"/>
              </w:rPr>
            </w:pPr>
            <w:r w:rsidRPr="00F903BC">
              <w:rPr>
                <w:rFonts w:ascii="Arial" w:hAnsi="Arial" w:cs="Arial"/>
                <w:color w:val="000000"/>
                <w:sz w:val="23"/>
                <w:szCs w:val="23"/>
              </w:rPr>
              <w:t xml:space="preserve">3. The amendment to Paragraph 8 (iii) provides more clarification on submission of claims for travel and subsistence. </w:t>
            </w:r>
          </w:p>
        </w:tc>
        <w:tc>
          <w:tcPr>
            <w:tcW w:w="1749" w:type="dxa"/>
          </w:tcPr>
          <w:p w:rsidR="00F903BC" w:rsidRDefault="00F903BC" w:rsidP="003F64C9">
            <w:pPr>
              <w:spacing w:line="276" w:lineRule="auto"/>
              <w:jc w:val="center"/>
              <w:rPr>
                <w:rFonts w:ascii="Arial" w:hAnsi="Arial" w:cs="Arial"/>
                <w:sz w:val="24"/>
                <w:szCs w:val="24"/>
              </w:rPr>
            </w:pPr>
            <w:r>
              <w:rPr>
                <w:rFonts w:ascii="Arial" w:hAnsi="Arial" w:cs="Arial"/>
                <w:sz w:val="24"/>
                <w:szCs w:val="24"/>
              </w:rPr>
              <w:object w:dxaOrig="1513" w:dyaOrig="984">
                <v:shape id="_x0000_i1027" type="#_x0000_t75" style="width:75.6pt;height:49.2pt" o:ole="">
                  <v:imagedata r:id="rId13" o:title=""/>
                </v:shape>
                <o:OLEObject Type="Link" ProgID="AcroExch.Document.11" ShapeID="_x0000_i1027" DrawAspect="Icon" r:id="rId14" UpdateMode="Always">
                  <o:LinkType>EnhancedMetaFile</o:LinkType>
                  <o:LockedField>false</o:LockedField>
                  <o:FieldCodes>\f 0</o:FieldCodes>
                </o:OLEObject>
              </w:object>
            </w:r>
          </w:p>
        </w:tc>
      </w:tr>
    </w:tbl>
    <w:p w:rsidR="005C5A47" w:rsidRDefault="005C5A47" w:rsidP="00C2178B">
      <w:pPr>
        <w:pStyle w:val="Default"/>
        <w:spacing w:line="276" w:lineRule="auto"/>
        <w:rPr>
          <w:rFonts w:ascii="Arial" w:hAnsi="Arial" w:cs="Arial"/>
          <w:color w:val="auto"/>
          <w:sz w:val="22"/>
          <w:szCs w:val="22"/>
        </w:rPr>
      </w:pPr>
    </w:p>
    <w:sectPr w:rsidR="005C5A47" w:rsidSect="009801F9">
      <w:headerReference w:type="default" r:id="rId15"/>
      <w:footerReference w:type="default" r:id="rId1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D9" w:rsidRDefault="004B09D9" w:rsidP="004B09D9">
      <w:pPr>
        <w:spacing w:after="0" w:line="240" w:lineRule="auto"/>
      </w:pPr>
      <w:r>
        <w:separator/>
      </w:r>
    </w:p>
  </w:endnote>
  <w:endnote w:type="continuationSeparator" w:id="0">
    <w:p w:rsidR="004B09D9" w:rsidRDefault="004B09D9" w:rsidP="004B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FE" w:rsidRDefault="00802D23">
    <w:pPr>
      <w:pStyle w:val="Footer"/>
    </w:pPr>
    <w:r>
      <w:t>CP&amp;R 161018</w:t>
    </w:r>
    <w:r w:rsidR="00B63DFE">
      <w:tab/>
    </w:r>
    <w:r w:rsidR="00B63DFE">
      <w:tab/>
      <w:t xml:space="preserve">Page </w:t>
    </w:r>
    <w:r w:rsidR="00B63DFE">
      <w:fldChar w:fldCharType="begin"/>
    </w:r>
    <w:r w:rsidR="00B63DFE">
      <w:instrText xml:space="preserve"> PAGE   \* MERGEFORMAT </w:instrText>
    </w:r>
    <w:r w:rsidR="00B63DFE">
      <w:fldChar w:fldCharType="separate"/>
    </w:r>
    <w:r w:rsidR="00BE6F8E">
      <w:rPr>
        <w:noProof/>
      </w:rPr>
      <w:t>2</w:t>
    </w:r>
    <w:r w:rsidR="00B63DFE">
      <w:fldChar w:fldCharType="end"/>
    </w:r>
    <w:r w:rsidR="00BF5EEA">
      <w:t xml:space="preserve"> </w:t>
    </w:r>
    <w:r w:rsidR="00954BB0">
      <w:t xml:space="preserve">of </w:t>
    </w:r>
    <w:fldSimple w:instr=" NUMPAGES   \* MERGEFORMAT ">
      <w:r w:rsidR="00BE6F8E">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D9" w:rsidRDefault="004B09D9" w:rsidP="004B09D9">
      <w:pPr>
        <w:spacing w:after="0" w:line="240" w:lineRule="auto"/>
      </w:pPr>
      <w:r>
        <w:separator/>
      </w:r>
    </w:p>
  </w:footnote>
  <w:footnote w:type="continuationSeparator" w:id="0">
    <w:p w:rsidR="004B09D9" w:rsidRDefault="004B09D9" w:rsidP="004B0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D2" w:rsidRDefault="002C63D2" w:rsidP="002C63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1341C"/>
    <w:multiLevelType w:val="hybridMultilevel"/>
    <w:tmpl w:val="01B84F9A"/>
    <w:lvl w:ilvl="0" w:tplc="29ECC358">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1D5551"/>
    <w:multiLevelType w:val="hybridMultilevel"/>
    <w:tmpl w:val="B1B8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D5E1C"/>
    <w:multiLevelType w:val="hybridMultilevel"/>
    <w:tmpl w:val="E6E21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822AF"/>
    <w:multiLevelType w:val="hybridMultilevel"/>
    <w:tmpl w:val="A53A3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A23341"/>
    <w:multiLevelType w:val="hybridMultilevel"/>
    <w:tmpl w:val="FEBE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0788D"/>
    <w:multiLevelType w:val="hybridMultilevel"/>
    <w:tmpl w:val="D64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F3D0C"/>
    <w:multiLevelType w:val="hybridMultilevel"/>
    <w:tmpl w:val="F7CCE2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4DB1A86"/>
    <w:multiLevelType w:val="hybridMultilevel"/>
    <w:tmpl w:val="9F029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A3033BF"/>
    <w:multiLevelType w:val="hybridMultilevel"/>
    <w:tmpl w:val="A2DC5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35A2A"/>
    <w:multiLevelType w:val="hybridMultilevel"/>
    <w:tmpl w:val="8C3EB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274E53"/>
    <w:multiLevelType w:val="hybridMultilevel"/>
    <w:tmpl w:val="B034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6B353B"/>
    <w:multiLevelType w:val="hybridMultilevel"/>
    <w:tmpl w:val="940C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4"/>
  </w:num>
  <w:num w:numId="5">
    <w:abstractNumId w:val="0"/>
  </w:num>
  <w:num w:numId="6">
    <w:abstractNumId w:val="8"/>
  </w:num>
  <w:num w:numId="7">
    <w:abstractNumId w:val="2"/>
  </w:num>
  <w:num w:numId="8">
    <w:abstractNumId w:val="3"/>
  </w:num>
  <w:num w:numId="9">
    <w:abstractNumId w:val="6"/>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D9"/>
    <w:rsid w:val="0003702C"/>
    <w:rsid w:val="000B3620"/>
    <w:rsid w:val="000C07C7"/>
    <w:rsid w:val="000C6BD8"/>
    <w:rsid w:val="000F62B1"/>
    <w:rsid w:val="00133DF1"/>
    <w:rsid w:val="001801F1"/>
    <w:rsid w:val="00185EEE"/>
    <w:rsid w:val="00187FF6"/>
    <w:rsid w:val="001B00B1"/>
    <w:rsid w:val="001B2500"/>
    <w:rsid w:val="001D18F0"/>
    <w:rsid w:val="001D79F6"/>
    <w:rsid w:val="0021411C"/>
    <w:rsid w:val="002237DB"/>
    <w:rsid w:val="00231AE0"/>
    <w:rsid w:val="00297200"/>
    <w:rsid w:val="002A4859"/>
    <w:rsid w:val="002C63D2"/>
    <w:rsid w:val="00323BDD"/>
    <w:rsid w:val="0034703D"/>
    <w:rsid w:val="00355096"/>
    <w:rsid w:val="003717B5"/>
    <w:rsid w:val="0039446D"/>
    <w:rsid w:val="003A0710"/>
    <w:rsid w:val="003E2DA5"/>
    <w:rsid w:val="003F64C9"/>
    <w:rsid w:val="004058BC"/>
    <w:rsid w:val="00410BF5"/>
    <w:rsid w:val="00420C97"/>
    <w:rsid w:val="00425458"/>
    <w:rsid w:val="0044137D"/>
    <w:rsid w:val="004738C1"/>
    <w:rsid w:val="00494D09"/>
    <w:rsid w:val="004A088F"/>
    <w:rsid w:val="004A3418"/>
    <w:rsid w:val="004B09D9"/>
    <w:rsid w:val="004F4E77"/>
    <w:rsid w:val="005A3C93"/>
    <w:rsid w:val="005A709A"/>
    <w:rsid w:val="005C5A47"/>
    <w:rsid w:val="005E3641"/>
    <w:rsid w:val="00617113"/>
    <w:rsid w:val="006241A8"/>
    <w:rsid w:val="00657B9D"/>
    <w:rsid w:val="00674F05"/>
    <w:rsid w:val="00690E42"/>
    <w:rsid w:val="006A2401"/>
    <w:rsid w:val="006D713A"/>
    <w:rsid w:val="006F672A"/>
    <w:rsid w:val="00707E76"/>
    <w:rsid w:val="0076763B"/>
    <w:rsid w:val="0077351A"/>
    <w:rsid w:val="00783C3B"/>
    <w:rsid w:val="007D4C6B"/>
    <w:rsid w:val="007F4D3A"/>
    <w:rsid w:val="00802D23"/>
    <w:rsid w:val="008071BD"/>
    <w:rsid w:val="00830255"/>
    <w:rsid w:val="00835832"/>
    <w:rsid w:val="008862AF"/>
    <w:rsid w:val="008A7D0D"/>
    <w:rsid w:val="008B05AC"/>
    <w:rsid w:val="008D5280"/>
    <w:rsid w:val="009531BD"/>
    <w:rsid w:val="00954BB0"/>
    <w:rsid w:val="00975358"/>
    <w:rsid w:val="009801F9"/>
    <w:rsid w:val="00980890"/>
    <w:rsid w:val="009809C7"/>
    <w:rsid w:val="0098376A"/>
    <w:rsid w:val="00992BE7"/>
    <w:rsid w:val="009A6753"/>
    <w:rsid w:val="009B10D6"/>
    <w:rsid w:val="009D3C23"/>
    <w:rsid w:val="009D7FDB"/>
    <w:rsid w:val="00A1083A"/>
    <w:rsid w:val="00A651B0"/>
    <w:rsid w:val="00A84ADE"/>
    <w:rsid w:val="00A961ED"/>
    <w:rsid w:val="00AB155A"/>
    <w:rsid w:val="00AE0159"/>
    <w:rsid w:val="00AE77F8"/>
    <w:rsid w:val="00AF1B09"/>
    <w:rsid w:val="00B03BDF"/>
    <w:rsid w:val="00B064E3"/>
    <w:rsid w:val="00B40760"/>
    <w:rsid w:val="00B45CE6"/>
    <w:rsid w:val="00B464FC"/>
    <w:rsid w:val="00B5123C"/>
    <w:rsid w:val="00B63DFE"/>
    <w:rsid w:val="00B71912"/>
    <w:rsid w:val="00BD0E66"/>
    <w:rsid w:val="00BD2DDE"/>
    <w:rsid w:val="00BE4E0A"/>
    <w:rsid w:val="00BE6F8E"/>
    <w:rsid w:val="00BF5EEA"/>
    <w:rsid w:val="00C119E4"/>
    <w:rsid w:val="00C15598"/>
    <w:rsid w:val="00C2178B"/>
    <w:rsid w:val="00C2290C"/>
    <w:rsid w:val="00C25E44"/>
    <w:rsid w:val="00C421D1"/>
    <w:rsid w:val="00C42EC3"/>
    <w:rsid w:val="00C52CAB"/>
    <w:rsid w:val="00C5774C"/>
    <w:rsid w:val="00C75787"/>
    <w:rsid w:val="00C97C71"/>
    <w:rsid w:val="00CA3E45"/>
    <w:rsid w:val="00CA7151"/>
    <w:rsid w:val="00CB273F"/>
    <w:rsid w:val="00CE7BFE"/>
    <w:rsid w:val="00D12D87"/>
    <w:rsid w:val="00D17D1B"/>
    <w:rsid w:val="00D64D34"/>
    <w:rsid w:val="00D73428"/>
    <w:rsid w:val="00D7490D"/>
    <w:rsid w:val="00DA1528"/>
    <w:rsid w:val="00DA7295"/>
    <w:rsid w:val="00DD2D31"/>
    <w:rsid w:val="00E021C0"/>
    <w:rsid w:val="00E65EEE"/>
    <w:rsid w:val="00E66F10"/>
    <w:rsid w:val="00E83732"/>
    <w:rsid w:val="00E90000"/>
    <w:rsid w:val="00EA0343"/>
    <w:rsid w:val="00EA6BF8"/>
    <w:rsid w:val="00EE23BE"/>
    <w:rsid w:val="00EF23B3"/>
    <w:rsid w:val="00F04691"/>
    <w:rsid w:val="00F22BFF"/>
    <w:rsid w:val="00F53926"/>
    <w:rsid w:val="00F903BC"/>
    <w:rsid w:val="00FB18AE"/>
    <w:rsid w:val="00FC5483"/>
    <w:rsid w:val="00FC5D75"/>
    <w:rsid w:val="00FC6BC4"/>
    <w:rsid w:val="00FE6243"/>
    <w:rsid w:val="00FF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chartTrackingRefBased/>
  <w15:docId w15:val="{8633C7DD-E5B8-4603-9C87-85833051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D9"/>
  </w:style>
  <w:style w:type="paragraph" w:styleId="Footer">
    <w:name w:val="footer"/>
    <w:basedOn w:val="Normal"/>
    <w:link w:val="FooterChar"/>
    <w:uiPriority w:val="99"/>
    <w:unhideWhenUsed/>
    <w:rsid w:val="004B0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D9"/>
  </w:style>
  <w:style w:type="paragraph" w:styleId="NoSpacing">
    <w:name w:val="No Spacing"/>
    <w:uiPriority w:val="1"/>
    <w:qFormat/>
    <w:rsid w:val="004B09D9"/>
    <w:pPr>
      <w:spacing w:after="0" w:line="240" w:lineRule="auto"/>
    </w:pPr>
  </w:style>
  <w:style w:type="character" w:styleId="Hyperlink">
    <w:name w:val="Hyperlink"/>
    <w:basedOn w:val="DefaultParagraphFont"/>
    <w:uiPriority w:val="99"/>
    <w:unhideWhenUsed/>
    <w:rsid w:val="00C75787"/>
    <w:rPr>
      <w:color w:val="0563C1"/>
      <w:u w:val="single"/>
    </w:rPr>
  </w:style>
  <w:style w:type="paragraph" w:styleId="ListParagraph">
    <w:name w:val="List Paragraph"/>
    <w:basedOn w:val="Normal"/>
    <w:uiPriority w:val="34"/>
    <w:qFormat/>
    <w:rsid w:val="00C75787"/>
    <w:pPr>
      <w:ind w:left="720"/>
      <w:contextualSpacing/>
    </w:pPr>
  </w:style>
  <w:style w:type="paragraph" w:customStyle="1" w:styleId="Default">
    <w:name w:val="Default"/>
    <w:rsid w:val="00C75787"/>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425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458"/>
    <w:rPr>
      <w:rFonts w:ascii="Segoe UI" w:hAnsi="Segoe UI" w:cs="Segoe UI"/>
      <w:sz w:val="18"/>
      <w:szCs w:val="18"/>
    </w:rPr>
  </w:style>
  <w:style w:type="character" w:styleId="FollowedHyperlink">
    <w:name w:val="FollowedHyperlink"/>
    <w:basedOn w:val="DefaultParagraphFont"/>
    <w:uiPriority w:val="99"/>
    <w:semiHidden/>
    <w:unhideWhenUsed/>
    <w:rsid w:val="00C25E44"/>
    <w:rPr>
      <w:color w:val="954F72" w:themeColor="followedHyperlink"/>
      <w:u w:val="single"/>
    </w:rPr>
  </w:style>
  <w:style w:type="table" w:styleId="TableGrid">
    <w:name w:val="Table Grid"/>
    <w:basedOn w:val="TableNormal"/>
    <w:uiPriority w:val="39"/>
    <w:rsid w:val="00C4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18F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6315">
      <w:bodyDiv w:val="1"/>
      <w:marLeft w:val="0"/>
      <w:marRight w:val="0"/>
      <w:marTop w:val="0"/>
      <w:marBottom w:val="0"/>
      <w:divBdr>
        <w:top w:val="none" w:sz="0" w:space="0" w:color="auto"/>
        <w:left w:val="none" w:sz="0" w:space="0" w:color="auto"/>
        <w:bottom w:val="none" w:sz="0" w:space="0" w:color="auto"/>
        <w:right w:val="none" w:sz="0" w:space="0" w:color="auto"/>
      </w:divBdr>
    </w:div>
    <w:div w:id="753892971">
      <w:bodyDiv w:val="1"/>
      <w:marLeft w:val="0"/>
      <w:marRight w:val="0"/>
      <w:marTop w:val="0"/>
      <w:marBottom w:val="0"/>
      <w:divBdr>
        <w:top w:val="none" w:sz="0" w:space="0" w:color="auto"/>
        <w:left w:val="none" w:sz="0" w:space="0" w:color="auto"/>
        <w:bottom w:val="none" w:sz="0" w:space="0" w:color="auto"/>
        <w:right w:val="none" w:sz="0" w:space="0" w:color="auto"/>
      </w:divBdr>
    </w:div>
    <w:div w:id="798457343">
      <w:bodyDiv w:val="1"/>
      <w:marLeft w:val="0"/>
      <w:marRight w:val="0"/>
      <w:marTop w:val="0"/>
      <w:marBottom w:val="0"/>
      <w:divBdr>
        <w:top w:val="none" w:sz="0" w:space="0" w:color="auto"/>
        <w:left w:val="none" w:sz="0" w:space="0" w:color="auto"/>
        <w:bottom w:val="none" w:sz="0" w:space="0" w:color="auto"/>
        <w:right w:val="none" w:sz="0" w:space="0" w:color="auto"/>
      </w:divBdr>
    </w:div>
    <w:div w:id="1022131266">
      <w:bodyDiv w:val="1"/>
      <w:marLeft w:val="0"/>
      <w:marRight w:val="0"/>
      <w:marTop w:val="0"/>
      <w:marBottom w:val="0"/>
      <w:divBdr>
        <w:top w:val="none" w:sz="0" w:space="0" w:color="auto"/>
        <w:left w:val="none" w:sz="0" w:space="0" w:color="auto"/>
        <w:bottom w:val="none" w:sz="0" w:space="0" w:color="auto"/>
        <w:right w:val="none" w:sz="0" w:space="0" w:color="auto"/>
      </w:divBdr>
    </w:div>
    <w:div w:id="1025863589">
      <w:bodyDiv w:val="1"/>
      <w:marLeft w:val="0"/>
      <w:marRight w:val="0"/>
      <w:marTop w:val="0"/>
      <w:marBottom w:val="0"/>
      <w:divBdr>
        <w:top w:val="none" w:sz="0" w:space="0" w:color="auto"/>
        <w:left w:val="none" w:sz="0" w:space="0" w:color="auto"/>
        <w:bottom w:val="none" w:sz="0" w:space="0" w:color="auto"/>
        <w:right w:val="none" w:sz="0" w:space="0" w:color="auto"/>
      </w:divBdr>
    </w:div>
    <w:div w:id="1066798488">
      <w:bodyDiv w:val="1"/>
      <w:marLeft w:val="0"/>
      <w:marRight w:val="0"/>
      <w:marTop w:val="0"/>
      <w:marBottom w:val="0"/>
      <w:divBdr>
        <w:top w:val="none" w:sz="0" w:space="0" w:color="auto"/>
        <w:left w:val="none" w:sz="0" w:space="0" w:color="auto"/>
        <w:bottom w:val="none" w:sz="0" w:space="0" w:color="auto"/>
        <w:right w:val="none" w:sz="0" w:space="0" w:color="auto"/>
      </w:divBdr>
    </w:div>
    <w:div w:id="1088623218">
      <w:bodyDiv w:val="1"/>
      <w:marLeft w:val="0"/>
      <w:marRight w:val="0"/>
      <w:marTop w:val="0"/>
      <w:marBottom w:val="0"/>
      <w:divBdr>
        <w:top w:val="none" w:sz="0" w:space="0" w:color="auto"/>
        <w:left w:val="none" w:sz="0" w:space="0" w:color="auto"/>
        <w:bottom w:val="none" w:sz="0" w:space="0" w:color="auto"/>
        <w:right w:val="none" w:sz="0" w:space="0" w:color="auto"/>
      </w:divBdr>
    </w:div>
    <w:div w:id="1239023813">
      <w:bodyDiv w:val="1"/>
      <w:marLeft w:val="0"/>
      <w:marRight w:val="0"/>
      <w:marTop w:val="0"/>
      <w:marBottom w:val="0"/>
      <w:divBdr>
        <w:top w:val="none" w:sz="0" w:space="0" w:color="auto"/>
        <w:left w:val="none" w:sz="0" w:space="0" w:color="auto"/>
        <w:bottom w:val="none" w:sz="0" w:space="0" w:color="auto"/>
        <w:right w:val="none" w:sz="0" w:space="0" w:color="auto"/>
      </w:divBdr>
      <w:divsChild>
        <w:div w:id="1040863774">
          <w:marLeft w:val="0"/>
          <w:marRight w:val="0"/>
          <w:marTop w:val="0"/>
          <w:marBottom w:val="0"/>
          <w:divBdr>
            <w:top w:val="none" w:sz="0" w:space="0" w:color="auto"/>
            <w:left w:val="none" w:sz="0" w:space="0" w:color="auto"/>
            <w:bottom w:val="none" w:sz="0" w:space="0" w:color="auto"/>
            <w:right w:val="none" w:sz="0" w:space="0" w:color="auto"/>
          </w:divBdr>
        </w:div>
      </w:divsChild>
    </w:div>
    <w:div w:id="15043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file:///S:\COUNCIL%20AND%20COMMITTEE%20MEETINGS\CORPORATE%20POLICY%20AND%20RESOURCES%20COMMITTEE\CP&amp;R%20Agendas\161018\Correspondence\Letter%20to%20%20Chief%20Executives,%20Finance%20Officer%20and%20others%20-%20Further%20amended%20guidance%20iro%20IT%20packages%20including%20phone%20calls%20and%20consumabl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file:///\\share\Democratic%20Services\COUNCIL%20AND%20COMMITTEE%20MEETINGS\CORPORATE%20POLICY%20AND%20RESOURCES%20COMMITTEE\CP&amp;R%20Agendas\161018\Correspondence\20161010%20Letter%20re%20Evidence%20Non%20Domestic%20Rating%20System.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file:///\\share\Democratic%20Services\COUNCIL%20AND%20COMMITTEE%20MEETINGS\CORPORATE%20POLICY%20AND%20RESOURCES%20COMMITTEE\CP&amp;R%20Agendas\161018\Correspondence\Addenda%20to%20Guidance%20on%20Councillor%20Allowances%20to%20update%20DCA%20and%20T%20&amp;%20S%20Receip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BF9E-EDB9-4396-AF45-4F704691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mccaul</dc:creator>
  <cp:keywords/>
  <dc:description/>
  <cp:lastModifiedBy>Sinead Duggan</cp:lastModifiedBy>
  <cp:revision>7</cp:revision>
  <cp:lastPrinted>2016-10-12T13:31:00Z</cp:lastPrinted>
  <dcterms:created xsi:type="dcterms:W3CDTF">2016-10-12T12:13:00Z</dcterms:created>
  <dcterms:modified xsi:type="dcterms:W3CDTF">2016-10-12T13:33:00Z</dcterms:modified>
</cp:coreProperties>
</file>