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435" w:rsidRDefault="009905EB" w:rsidP="00D02BA2">
      <w:pPr>
        <w:pStyle w:val="Heading1"/>
        <w:contextualSpacing/>
        <w:jc w:val="both"/>
        <w:rPr>
          <w:sz w:val="22"/>
        </w:rPr>
      </w:pPr>
      <w:r>
        <w:rPr>
          <w:noProof/>
          <w:lang w:eastAsia="en-GB"/>
        </w:rPr>
        <w:drawing>
          <wp:anchor distT="0" distB="0" distL="114300" distR="114300" simplePos="0" relativeHeight="251659264" behindDoc="1" locked="0" layoutInCell="1" allowOverlap="1" wp14:anchorId="228E1023" wp14:editId="3F0DC8C9">
            <wp:simplePos x="0" y="0"/>
            <wp:positionH relativeFrom="column">
              <wp:posOffset>1438275</wp:posOffset>
            </wp:positionH>
            <wp:positionV relativeFrom="paragraph">
              <wp:posOffset>25400</wp:posOffset>
            </wp:positionV>
            <wp:extent cx="3017520" cy="1219200"/>
            <wp:effectExtent l="0" t="0" r="0" b="0"/>
            <wp:wrapTight wrapText="bothSides">
              <wp:wrapPolygon edited="0">
                <wp:start x="0" y="0"/>
                <wp:lineTo x="0" y="21263"/>
                <wp:lineTo x="21409" y="21263"/>
                <wp:lineTo x="21409" y="0"/>
                <wp:lineTo x="0" y="0"/>
              </wp:wrapPolygon>
            </wp:wrapTight>
            <wp:docPr id="10" name="Picture 10" descr="\\SERVER2012\Customers\974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2012\Customers\9746\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752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435" w:rsidRDefault="00DD0435" w:rsidP="00D02BA2">
      <w:pPr>
        <w:pStyle w:val="Heading1"/>
        <w:contextualSpacing/>
        <w:jc w:val="both"/>
        <w:rPr>
          <w:sz w:val="28"/>
        </w:rPr>
      </w:pPr>
    </w:p>
    <w:p w:rsidR="009905EB" w:rsidRDefault="009905EB" w:rsidP="009905EB"/>
    <w:p w:rsidR="009905EB" w:rsidRPr="009905EB" w:rsidRDefault="009905EB" w:rsidP="009905EB"/>
    <w:p w:rsidR="005F76F7" w:rsidRPr="005F76F7" w:rsidRDefault="005F76F7" w:rsidP="00D02BA2">
      <w:pPr>
        <w:pStyle w:val="Heading1"/>
        <w:contextualSpacing/>
        <w:jc w:val="both"/>
        <w:rPr>
          <w:sz w:val="28"/>
          <w:szCs w:val="28"/>
        </w:rPr>
      </w:pPr>
    </w:p>
    <w:p w:rsidR="005F76F7" w:rsidRPr="005F76F7" w:rsidRDefault="005F76F7" w:rsidP="00D02BA2">
      <w:pPr>
        <w:pStyle w:val="Heading1"/>
        <w:contextualSpacing/>
        <w:rPr>
          <w:sz w:val="28"/>
          <w:szCs w:val="28"/>
        </w:rPr>
      </w:pPr>
    </w:p>
    <w:p w:rsidR="005F76F7" w:rsidRPr="005F76F7" w:rsidRDefault="005F76F7" w:rsidP="00D02BA2">
      <w:pPr>
        <w:pStyle w:val="Heading1"/>
        <w:contextualSpacing/>
        <w:rPr>
          <w:sz w:val="28"/>
          <w:szCs w:val="28"/>
        </w:rPr>
      </w:pPr>
    </w:p>
    <w:p w:rsidR="005F76F7" w:rsidRPr="005F76F7" w:rsidRDefault="005F76F7" w:rsidP="00D02BA2">
      <w:pPr>
        <w:pStyle w:val="Heading1"/>
        <w:contextualSpacing/>
        <w:rPr>
          <w:sz w:val="28"/>
          <w:szCs w:val="28"/>
        </w:rPr>
      </w:pPr>
    </w:p>
    <w:p w:rsidR="00DD0435" w:rsidRPr="007777E1" w:rsidRDefault="00DD0435" w:rsidP="00D02BA2">
      <w:pPr>
        <w:pStyle w:val="Heading1"/>
        <w:contextualSpacing/>
        <w:jc w:val="center"/>
        <w:rPr>
          <w:sz w:val="72"/>
          <w:szCs w:val="72"/>
        </w:rPr>
      </w:pPr>
      <w:r w:rsidRPr="007777E1">
        <w:rPr>
          <w:sz w:val="72"/>
          <w:szCs w:val="72"/>
        </w:rPr>
        <w:t>Charging Structure for Published Information</w:t>
      </w:r>
    </w:p>
    <w:p w:rsidR="00DD0435" w:rsidRPr="005F76F7" w:rsidRDefault="00DD0435" w:rsidP="00D02BA2">
      <w:pPr>
        <w:pStyle w:val="Heading1"/>
        <w:contextualSpacing/>
        <w:rPr>
          <w:sz w:val="28"/>
          <w:szCs w:val="28"/>
        </w:rPr>
      </w:pPr>
    </w:p>
    <w:p w:rsidR="005F76F7" w:rsidRPr="005F76F7" w:rsidRDefault="005F76F7" w:rsidP="00D02BA2">
      <w:pPr>
        <w:contextualSpacing/>
        <w:rPr>
          <w:rFonts w:ascii="Arial" w:hAnsi="Arial" w:cs="Arial"/>
          <w:b/>
          <w:sz w:val="28"/>
          <w:szCs w:val="28"/>
        </w:rPr>
      </w:pPr>
    </w:p>
    <w:p w:rsidR="005F76F7" w:rsidRPr="005F76F7" w:rsidRDefault="005F76F7" w:rsidP="00D02BA2">
      <w:pPr>
        <w:contextualSpacing/>
        <w:rPr>
          <w:rFonts w:ascii="Arial" w:hAnsi="Arial" w:cs="Arial"/>
          <w:b/>
          <w:sz w:val="28"/>
          <w:szCs w:val="28"/>
        </w:rPr>
      </w:pPr>
    </w:p>
    <w:p w:rsidR="005F76F7" w:rsidRPr="005F76F7" w:rsidRDefault="005F76F7" w:rsidP="00D02BA2">
      <w:pPr>
        <w:contextualSpacing/>
        <w:rPr>
          <w:rFonts w:ascii="Arial" w:hAnsi="Arial" w:cs="Arial"/>
          <w:b/>
          <w:sz w:val="28"/>
          <w:szCs w:val="28"/>
        </w:rPr>
      </w:pPr>
    </w:p>
    <w:p w:rsidR="00040734" w:rsidRDefault="00040734" w:rsidP="00D02BA2">
      <w:pPr>
        <w:spacing w:before="100" w:beforeAutospacing="1" w:after="100" w:afterAutospacing="1"/>
        <w:ind w:left="720"/>
        <w:contextualSpacing/>
        <w:jc w:val="center"/>
        <w:rPr>
          <w:rFonts w:ascii="Arial" w:hAnsi="Arial" w:cs="Arial"/>
          <w:b/>
          <w:lang w:val="en" w:eastAsia="en-GB"/>
        </w:rPr>
      </w:pPr>
      <w:r>
        <w:rPr>
          <w:rFonts w:ascii="Arial" w:hAnsi="Arial" w:cs="Arial"/>
          <w:b/>
          <w:lang w:val="en" w:eastAsia="en-GB"/>
        </w:rPr>
        <w:t>GENERAL DATA PROTECTION REGULATION</w:t>
      </w:r>
    </w:p>
    <w:p w:rsidR="005F76F7" w:rsidRPr="00AD74C2" w:rsidRDefault="005F76F7" w:rsidP="00D02BA2">
      <w:pPr>
        <w:spacing w:before="100" w:beforeAutospacing="1" w:after="100" w:afterAutospacing="1"/>
        <w:ind w:left="720"/>
        <w:contextualSpacing/>
        <w:jc w:val="center"/>
        <w:rPr>
          <w:rFonts w:ascii="Arial" w:hAnsi="Arial" w:cs="Arial"/>
          <w:b/>
          <w:lang w:val="en" w:eastAsia="en-GB"/>
        </w:rPr>
      </w:pPr>
      <w:r w:rsidRPr="00AD74C2">
        <w:rPr>
          <w:rFonts w:ascii="Arial" w:hAnsi="Arial" w:cs="Arial"/>
          <w:b/>
          <w:lang w:val="en" w:eastAsia="en-GB"/>
        </w:rPr>
        <w:t>T</w:t>
      </w:r>
      <w:r w:rsidRPr="005F76F7">
        <w:rPr>
          <w:rFonts w:ascii="Arial" w:hAnsi="Arial" w:cs="Arial"/>
          <w:b/>
          <w:lang w:val="en" w:eastAsia="en-GB"/>
        </w:rPr>
        <w:t xml:space="preserve">HE DATA PROTECTION ACT </w:t>
      </w:r>
      <w:r w:rsidR="00040734">
        <w:rPr>
          <w:rFonts w:ascii="Arial" w:hAnsi="Arial" w:cs="Arial"/>
          <w:b/>
          <w:lang w:val="en" w:eastAsia="en-GB"/>
        </w:rPr>
        <w:t>201</w:t>
      </w:r>
      <w:r w:rsidRPr="00AD74C2">
        <w:rPr>
          <w:rFonts w:ascii="Arial" w:hAnsi="Arial" w:cs="Arial"/>
          <w:b/>
          <w:lang w:val="en" w:eastAsia="en-GB"/>
        </w:rPr>
        <w:t>8</w:t>
      </w:r>
    </w:p>
    <w:p w:rsidR="005F76F7" w:rsidRPr="00AD74C2" w:rsidRDefault="005F76F7" w:rsidP="00D02BA2">
      <w:pPr>
        <w:spacing w:before="100" w:beforeAutospacing="1" w:after="100" w:afterAutospacing="1"/>
        <w:ind w:left="720"/>
        <w:contextualSpacing/>
        <w:jc w:val="center"/>
        <w:rPr>
          <w:rFonts w:ascii="Arial" w:hAnsi="Arial" w:cs="Arial"/>
          <w:b/>
          <w:lang w:val="en" w:eastAsia="en-GB"/>
        </w:rPr>
      </w:pPr>
      <w:r w:rsidRPr="00AD74C2">
        <w:rPr>
          <w:rFonts w:ascii="Arial" w:hAnsi="Arial" w:cs="Arial"/>
          <w:b/>
          <w:lang w:val="en" w:eastAsia="en-GB"/>
        </w:rPr>
        <w:t>T</w:t>
      </w:r>
      <w:r w:rsidRPr="005F76F7">
        <w:rPr>
          <w:rFonts w:ascii="Arial" w:hAnsi="Arial" w:cs="Arial"/>
          <w:b/>
          <w:lang w:val="en" w:eastAsia="en-GB"/>
        </w:rPr>
        <w:t xml:space="preserve">HE FREEDOM OF INFORMATION ACT </w:t>
      </w:r>
      <w:r w:rsidRPr="00AD74C2">
        <w:rPr>
          <w:rFonts w:ascii="Arial" w:hAnsi="Arial" w:cs="Arial"/>
          <w:b/>
          <w:lang w:val="en" w:eastAsia="en-GB"/>
        </w:rPr>
        <w:t>2000 (FOIA)</w:t>
      </w:r>
    </w:p>
    <w:p w:rsidR="005F76F7" w:rsidRDefault="005F76F7" w:rsidP="00D02BA2">
      <w:pPr>
        <w:spacing w:before="100" w:beforeAutospacing="1" w:after="100" w:afterAutospacing="1"/>
        <w:ind w:left="720"/>
        <w:contextualSpacing/>
        <w:jc w:val="center"/>
        <w:rPr>
          <w:rFonts w:ascii="Arial" w:hAnsi="Arial" w:cs="Arial"/>
          <w:b/>
          <w:lang w:val="en" w:eastAsia="en-GB"/>
        </w:rPr>
      </w:pPr>
      <w:r w:rsidRPr="00AD74C2">
        <w:rPr>
          <w:rFonts w:ascii="Arial" w:hAnsi="Arial" w:cs="Arial"/>
          <w:b/>
          <w:lang w:val="en" w:eastAsia="en-GB"/>
        </w:rPr>
        <w:t>T</w:t>
      </w:r>
      <w:r w:rsidRPr="005F76F7">
        <w:rPr>
          <w:rFonts w:ascii="Arial" w:hAnsi="Arial" w:cs="Arial"/>
          <w:b/>
          <w:lang w:val="en" w:eastAsia="en-GB"/>
        </w:rPr>
        <w:t xml:space="preserve">HE ENVIRONMENTAL INFORMATION REGULATIONS </w:t>
      </w:r>
      <w:r w:rsidRPr="00AD74C2">
        <w:rPr>
          <w:rFonts w:ascii="Arial" w:hAnsi="Arial" w:cs="Arial"/>
          <w:b/>
          <w:lang w:val="en" w:eastAsia="en-GB"/>
        </w:rPr>
        <w:t>2004 (EIRs)</w:t>
      </w: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2577BC" w:rsidRDefault="002577BC" w:rsidP="00D02BA2">
      <w:pPr>
        <w:spacing w:before="100" w:beforeAutospacing="1" w:after="100" w:afterAutospacing="1"/>
        <w:ind w:left="720"/>
        <w:contextualSpacing/>
        <w:jc w:val="center"/>
        <w:rPr>
          <w:rFonts w:ascii="Arial" w:hAnsi="Arial" w:cs="Arial"/>
          <w:b/>
          <w:lang w:val="en" w:eastAsia="en-GB"/>
        </w:rPr>
      </w:pPr>
    </w:p>
    <w:p w:rsidR="00943005" w:rsidRDefault="002577BC" w:rsidP="00943005">
      <w:pPr>
        <w:spacing w:after="120"/>
        <w:ind w:left="2880" w:firstLine="720"/>
        <w:jc w:val="both"/>
        <w:rPr>
          <w:rFonts w:ascii="Arial" w:hAnsi="Arial" w:cs="Arial"/>
          <w:sz w:val="22"/>
          <w:szCs w:val="22"/>
          <w:lang w:val="en" w:eastAsia="en-GB"/>
        </w:rPr>
      </w:pPr>
      <w:r w:rsidRPr="00943005">
        <w:rPr>
          <w:rFonts w:ascii="Arial" w:hAnsi="Arial" w:cs="Arial"/>
          <w:sz w:val="22"/>
          <w:szCs w:val="22"/>
          <w:lang w:val="en" w:eastAsia="en-GB"/>
        </w:rPr>
        <w:t>Updated to comply with GDPR and DPA 2018</w:t>
      </w:r>
    </w:p>
    <w:p w:rsidR="00943005" w:rsidRDefault="00943005" w:rsidP="00943005">
      <w:pPr>
        <w:pStyle w:val="NormalWeb"/>
        <w:shd w:val="clear" w:color="auto" w:fill="FFFFFF"/>
        <w:spacing w:before="0" w:beforeAutospacing="0" w:after="120" w:afterAutospacing="0"/>
        <w:ind w:left="3600"/>
        <w:rPr>
          <w:color w:val="000000"/>
          <w:sz w:val="22"/>
          <w:szCs w:val="22"/>
        </w:rPr>
      </w:pPr>
      <w:r w:rsidRPr="00943005">
        <w:rPr>
          <w:color w:val="000000"/>
          <w:sz w:val="22"/>
          <w:szCs w:val="22"/>
        </w:rPr>
        <w:t>A</w:t>
      </w:r>
      <w:r w:rsidRPr="00943005">
        <w:rPr>
          <w:color w:val="000000"/>
          <w:sz w:val="22"/>
          <w:szCs w:val="22"/>
        </w:rPr>
        <w:t xml:space="preserve">greed by CP&amp;R on 25th February </w:t>
      </w:r>
      <w:r w:rsidRPr="00943005">
        <w:rPr>
          <w:color w:val="000000"/>
          <w:sz w:val="22"/>
          <w:szCs w:val="22"/>
        </w:rPr>
        <w:t>2020</w:t>
      </w:r>
      <w:r>
        <w:rPr>
          <w:color w:val="000000"/>
          <w:sz w:val="22"/>
          <w:szCs w:val="22"/>
        </w:rPr>
        <w:t>.</w:t>
      </w:r>
    </w:p>
    <w:p w:rsidR="00943005" w:rsidRPr="00943005" w:rsidRDefault="00943005" w:rsidP="00943005">
      <w:pPr>
        <w:pStyle w:val="NormalWeb"/>
        <w:shd w:val="clear" w:color="auto" w:fill="FFFFFF"/>
        <w:spacing w:before="0" w:beforeAutospacing="0" w:after="120" w:afterAutospacing="0"/>
        <w:ind w:left="3600"/>
        <w:rPr>
          <w:color w:val="000000"/>
          <w:sz w:val="22"/>
          <w:szCs w:val="22"/>
          <w:lang w:eastAsia="en-GB"/>
        </w:rPr>
      </w:pPr>
      <w:r w:rsidRPr="00943005">
        <w:rPr>
          <w:color w:val="000000"/>
          <w:sz w:val="22"/>
          <w:szCs w:val="22"/>
        </w:rPr>
        <w:t>A</w:t>
      </w:r>
      <w:r w:rsidRPr="00943005">
        <w:rPr>
          <w:color w:val="000000"/>
          <w:sz w:val="22"/>
          <w:szCs w:val="22"/>
        </w:rPr>
        <w:t>dopted without amend</w:t>
      </w:r>
      <w:r w:rsidRPr="00943005">
        <w:rPr>
          <w:color w:val="000000"/>
          <w:sz w:val="22"/>
          <w:szCs w:val="22"/>
        </w:rPr>
        <w:t xml:space="preserve">ment </w:t>
      </w:r>
      <w:r w:rsidRPr="00943005">
        <w:rPr>
          <w:color w:val="000000"/>
          <w:sz w:val="22"/>
          <w:szCs w:val="22"/>
        </w:rPr>
        <w:t>on 3rd March 2020.</w:t>
      </w:r>
    </w:p>
    <w:p w:rsidR="002577BC" w:rsidRDefault="002577BC" w:rsidP="002577BC">
      <w:pPr>
        <w:rPr>
          <w:lang w:val="en" w:eastAsia="en-GB"/>
        </w:rPr>
      </w:pPr>
      <w:bookmarkStart w:id="0" w:name="_GoBack"/>
      <w:bookmarkEnd w:id="0"/>
    </w:p>
    <w:p w:rsidR="00943005" w:rsidRDefault="00943005">
      <w:pPr>
        <w:rPr>
          <w:rFonts w:ascii="Arial" w:hAnsi="Arial" w:cs="Arial"/>
          <w:b/>
          <w:bCs/>
          <w:sz w:val="40"/>
          <w:szCs w:val="40"/>
          <w:u w:val="single"/>
        </w:rPr>
      </w:pPr>
      <w:r>
        <w:rPr>
          <w:sz w:val="40"/>
          <w:szCs w:val="40"/>
          <w:u w:val="single"/>
        </w:rPr>
        <w:br w:type="page"/>
      </w:r>
    </w:p>
    <w:p w:rsidR="00DD0435" w:rsidRPr="005F76F7" w:rsidRDefault="00DD0435" w:rsidP="0088447A">
      <w:pPr>
        <w:pStyle w:val="Heading1"/>
        <w:spacing w:after="120"/>
        <w:contextualSpacing/>
        <w:jc w:val="both"/>
        <w:rPr>
          <w:sz w:val="40"/>
          <w:szCs w:val="40"/>
          <w:u w:val="single"/>
        </w:rPr>
      </w:pPr>
      <w:r w:rsidRPr="005F76F7">
        <w:rPr>
          <w:sz w:val="40"/>
          <w:szCs w:val="40"/>
          <w:u w:val="single"/>
        </w:rPr>
        <w:lastRenderedPageBreak/>
        <w:t>Charging Structure for Published Information</w:t>
      </w:r>
    </w:p>
    <w:p w:rsidR="00DD0435" w:rsidRPr="005F76F7" w:rsidRDefault="00DD0435" w:rsidP="0088447A">
      <w:pPr>
        <w:autoSpaceDE w:val="0"/>
        <w:autoSpaceDN w:val="0"/>
        <w:adjustRightInd w:val="0"/>
        <w:spacing w:after="120"/>
        <w:contextualSpacing/>
        <w:jc w:val="both"/>
        <w:rPr>
          <w:rFonts w:ascii="Arial" w:hAnsi="Arial"/>
          <w:b/>
          <w:sz w:val="28"/>
          <w:szCs w:val="28"/>
        </w:rPr>
      </w:pPr>
    </w:p>
    <w:p w:rsidR="0072592B" w:rsidRDefault="0088447A" w:rsidP="0088447A">
      <w:pPr>
        <w:spacing w:after="120"/>
        <w:contextualSpacing/>
        <w:jc w:val="both"/>
        <w:outlineLvl w:val="1"/>
        <w:rPr>
          <w:rFonts w:ascii="Arial" w:hAnsi="Arial" w:cs="Arial"/>
          <w:b/>
          <w:bCs/>
          <w:sz w:val="36"/>
          <w:szCs w:val="36"/>
          <w:lang w:val="en" w:eastAsia="en-GB"/>
        </w:rPr>
      </w:pPr>
      <w:r>
        <w:rPr>
          <w:rFonts w:ascii="Arial" w:hAnsi="Arial" w:cs="Arial"/>
          <w:b/>
          <w:bCs/>
          <w:sz w:val="36"/>
          <w:szCs w:val="36"/>
          <w:lang w:val="en" w:eastAsia="en-GB"/>
        </w:rPr>
        <w:t>Scope of Charging Structure</w:t>
      </w:r>
    </w:p>
    <w:p w:rsidR="0088447A" w:rsidRPr="00AD74C2" w:rsidRDefault="0088447A" w:rsidP="0088447A">
      <w:pPr>
        <w:spacing w:after="120"/>
        <w:contextualSpacing/>
        <w:jc w:val="both"/>
        <w:outlineLvl w:val="1"/>
        <w:rPr>
          <w:rFonts w:ascii="Arial" w:hAnsi="Arial" w:cs="Arial"/>
          <w:b/>
          <w:bCs/>
          <w:sz w:val="36"/>
          <w:szCs w:val="36"/>
          <w:lang w:val="en" w:eastAsia="en-GB"/>
        </w:rPr>
      </w:pPr>
    </w:p>
    <w:p w:rsidR="0072592B" w:rsidRDefault="0072592B" w:rsidP="0088447A">
      <w:pPr>
        <w:spacing w:after="120"/>
        <w:contextualSpacing/>
        <w:jc w:val="both"/>
        <w:rPr>
          <w:rFonts w:ascii="Arial" w:hAnsi="Arial" w:cs="Arial"/>
          <w:lang w:val="en" w:eastAsia="en-GB"/>
        </w:rPr>
      </w:pPr>
      <w:r w:rsidRPr="00AD74C2">
        <w:rPr>
          <w:rFonts w:ascii="Arial" w:hAnsi="Arial" w:cs="Arial"/>
          <w:lang w:val="en" w:eastAsia="en-GB"/>
        </w:rPr>
        <w:t xml:space="preserve">This </w:t>
      </w:r>
      <w:r w:rsidR="0088447A">
        <w:rPr>
          <w:rFonts w:ascii="Arial" w:hAnsi="Arial" w:cs="Arial"/>
          <w:lang w:val="en" w:eastAsia="en-GB"/>
        </w:rPr>
        <w:t xml:space="preserve">document </w:t>
      </w:r>
      <w:r w:rsidRPr="00AD74C2">
        <w:rPr>
          <w:rFonts w:ascii="Arial" w:hAnsi="Arial" w:cs="Arial"/>
          <w:lang w:val="en" w:eastAsia="en-GB"/>
        </w:rPr>
        <w:t>applies to the levying of fees and charges in relation to information a</w:t>
      </w:r>
      <w:r w:rsidR="00D02BA2">
        <w:rPr>
          <w:rFonts w:ascii="Arial" w:hAnsi="Arial" w:cs="Arial"/>
          <w:lang w:val="en" w:eastAsia="en-GB"/>
        </w:rPr>
        <w:t>ccess requests received by the C</w:t>
      </w:r>
      <w:r w:rsidRPr="00AD74C2">
        <w:rPr>
          <w:rFonts w:ascii="Arial" w:hAnsi="Arial" w:cs="Arial"/>
          <w:lang w:val="en" w:eastAsia="en-GB"/>
        </w:rPr>
        <w:t>ouncil falling under:</w:t>
      </w:r>
    </w:p>
    <w:p w:rsidR="0088447A" w:rsidRDefault="0088447A" w:rsidP="0088447A">
      <w:pPr>
        <w:spacing w:after="120"/>
        <w:contextualSpacing/>
        <w:jc w:val="both"/>
        <w:rPr>
          <w:rFonts w:ascii="Arial" w:hAnsi="Arial" w:cs="Arial"/>
          <w:lang w:val="en" w:eastAsia="en-GB"/>
        </w:rPr>
      </w:pPr>
    </w:p>
    <w:p w:rsidR="00040734" w:rsidRDefault="00040734" w:rsidP="0088447A">
      <w:pPr>
        <w:numPr>
          <w:ilvl w:val="0"/>
          <w:numId w:val="3"/>
        </w:numPr>
        <w:spacing w:after="120"/>
        <w:contextualSpacing/>
        <w:jc w:val="both"/>
        <w:rPr>
          <w:rFonts w:ascii="Arial" w:hAnsi="Arial" w:cs="Arial"/>
          <w:lang w:val="en" w:eastAsia="en-GB"/>
        </w:rPr>
      </w:pPr>
      <w:r>
        <w:rPr>
          <w:rFonts w:ascii="Arial" w:hAnsi="Arial" w:cs="Arial"/>
          <w:lang w:val="en" w:eastAsia="en-GB"/>
        </w:rPr>
        <w:t>General Data Protection Regulation</w:t>
      </w:r>
    </w:p>
    <w:p w:rsidR="0072592B" w:rsidRPr="00AD74C2" w:rsidRDefault="0072592B" w:rsidP="0088447A">
      <w:pPr>
        <w:numPr>
          <w:ilvl w:val="0"/>
          <w:numId w:val="3"/>
        </w:numPr>
        <w:spacing w:after="120"/>
        <w:contextualSpacing/>
        <w:jc w:val="both"/>
        <w:rPr>
          <w:rFonts w:ascii="Arial" w:hAnsi="Arial" w:cs="Arial"/>
          <w:lang w:val="en" w:eastAsia="en-GB"/>
        </w:rPr>
      </w:pPr>
      <w:r w:rsidRPr="00AD74C2">
        <w:rPr>
          <w:rFonts w:ascii="Arial" w:hAnsi="Arial" w:cs="Arial"/>
          <w:lang w:val="en" w:eastAsia="en-GB"/>
        </w:rPr>
        <w:t xml:space="preserve">The Data Protection Act </w:t>
      </w:r>
      <w:r w:rsidR="00040734">
        <w:rPr>
          <w:rFonts w:ascii="Arial" w:hAnsi="Arial" w:cs="Arial"/>
          <w:lang w:val="en" w:eastAsia="en-GB"/>
        </w:rPr>
        <w:t>2018</w:t>
      </w:r>
    </w:p>
    <w:p w:rsidR="0072592B" w:rsidRPr="00AD74C2" w:rsidRDefault="0072592B" w:rsidP="0088447A">
      <w:pPr>
        <w:numPr>
          <w:ilvl w:val="0"/>
          <w:numId w:val="3"/>
        </w:numPr>
        <w:spacing w:after="120"/>
        <w:contextualSpacing/>
        <w:jc w:val="both"/>
        <w:rPr>
          <w:rFonts w:ascii="Arial" w:hAnsi="Arial" w:cs="Arial"/>
          <w:lang w:val="en" w:eastAsia="en-GB"/>
        </w:rPr>
      </w:pPr>
      <w:r w:rsidRPr="00AD74C2">
        <w:rPr>
          <w:rFonts w:ascii="Arial" w:hAnsi="Arial" w:cs="Arial"/>
          <w:lang w:val="en" w:eastAsia="en-GB"/>
        </w:rPr>
        <w:t>The Freedom of Information Act 2000 (FOIA)</w:t>
      </w:r>
    </w:p>
    <w:p w:rsidR="0072592B" w:rsidRPr="00AD74C2" w:rsidRDefault="0072592B" w:rsidP="0088447A">
      <w:pPr>
        <w:numPr>
          <w:ilvl w:val="0"/>
          <w:numId w:val="3"/>
        </w:numPr>
        <w:spacing w:after="120"/>
        <w:contextualSpacing/>
        <w:jc w:val="both"/>
        <w:rPr>
          <w:rFonts w:ascii="Arial" w:hAnsi="Arial" w:cs="Arial"/>
          <w:lang w:val="en" w:eastAsia="en-GB"/>
        </w:rPr>
      </w:pPr>
      <w:r w:rsidRPr="00AD74C2">
        <w:rPr>
          <w:rFonts w:ascii="Arial" w:hAnsi="Arial" w:cs="Arial"/>
          <w:lang w:val="en" w:eastAsia="en-GB"/>
        </w:rPr>
        <w:t>The Environmental Information Regulations 2004 (EIRs)</w:t>
      </w:r>
    </w:p>
    <w:p w:rsidR="002577BC" w:rsidRDefault="002577BC" w:rsidP="0088447A">
      <w:pPr>
        <w:spacing w:after="120"/>
        <w:contextualSpacing/>
        <w:jc w:val="both"/>
        <w:outlineLvl w:val="1"/>
        <w:rPr>
          <w:rFonts w:ascii="Arial" w:hAnsi="Arial" w:cs="Arial"/>
          <w:b/>
          <w:bCs/>
          <w:sz w:val="36"/>
          <w:szCs w:val="36"/>
          <w:lang w:val="en" w:eastAsia="en-GB"/>
        </w:rPr>
      </w:pPr>
    </w:p>
    <w:p w:rsidR="00064749" w:rsidRDefault="00D02BA2" w:rsidP="0088447A">
      <w:pPr>
        <w:spacing w:after="120"/>
        <w:contextualSpacing/>
        <w:jc w:val="both"/>
        <w:outlineLvl w:val="1"/>
        <w:rPr>
          <w:rFonts w:ascii="Arial" w:hAnsi="Arial" w:cs="Arial"/>
          <w:b/>
          <w:bCs/>
          <w:sz w:val="36"/>
          <w:szCs w:val="36"/>
          <w:lang w:val="en" w:eastAsia="en-GB"/>
        </w:rPr>
      </w:pPr>
      <w:r>
        <w:rPr>
          <w:rFonts w:ascii="Arial" w:hAnsi="Arial" w:cs="Arial"/>
          <w:b/>
          <w:bCs/>
          <w:sz w:val="36"/>
          <w:szCs w:val="36"/>
          <w:lang w:val="en" w:eastAsia="en-GB"/>
        </w:rPr>
        <w:t>Legal Background for C</w:t>
      </w:r>
      <w:r w:rsidR="00064749" w:rsidRPr="00AD74C2">
        <w:rPr>
          <w:rFonts w:ascii="Arial" w:hAnsi="Arial" w:cs="Arial"/>
          <w:b/>
          <w:bCs/>
          <w:sz w:val="36"/>
          <w:szCs w:val="36"/>
          <w:lang w:val="en" w:eastAsia="en-GB"/>
        </w:rPr>
        <w:t>harges</w:t>
      </w:r>
    </w:p>
    <w:p w:rsidR="0088447A" w:rsidRPr="00AD74C2" w:rsidRDefault="0088447A" w:rsidP="0088447A">
      <w:pPr>
        <w:spacing w:after="120"/>
        <w:contextualSpacing/>
        <w:jc w:val="both"/>
        <w:outlineLvl w:val="1"/>
        <w:rPr>
          <w:rFonts w:ascii="Arial" w:hAnsi="Arial" w:cs="Arial"/>
          <w:b/>
          <w:bCs/>
          <w:sz w:val="36"/>
          <w:szCs w:val="36"/>
          <w:lang w:val="en" w:eastAsia="en-GB"/>
        </w:rPr>
      </w:pPr>
    </w:p>
    <w:p w:rsidR="0088447A" w:rsidRDefault="004B1624" w:rsidP="0088447A">
      <w:pPr>
        <w:spacing w:after="120"/>
        <w:contextualSpacing/>
        <w:rPr>
          <w:rFonts w:ascii="Arial" w:hAnsi="Arial" w:cs="Arial"/>
          <w:color w:val="000000"/>
          <w:lang w:eastAsia="en-GB"/>
        </w:rPr>
      </w:pPr>
      <w:r w:rsidRPr="004B1624">
        <w:rPr>
          <w:rFonts w:ascii="Arial" w:hAnsi="Arial" w:cs="Arial"/>
          <w:color w:val="000000"/>
          <w:lang w:eastAsia="en-GB"/>
        </w:rPr>
        <w:t>In most cases a fee cannot be charged in association with a subject access request.</w:t>
      </w:r>
      <w:r>
        <w:rPr>
          <w:rFonts w:ascii="Arial" w:hAnsi="Arial" w:cs="Arial"/>
          <w:color w:val="000000"/>
          <w:lang w:eastAsia="en-GB"/>
        </w:rPr>
        <w:t xml:space="preserve"> </w:t>
      </w:r>
    </w:p>
    <w:p w:rsidR="0088447A" w:rsidRDefault="0088447A" w:rsidP="0088447A">
      <w:pPr>
        <w:spacing w:after="120"/>
        <w:contextualSpacing/>
        <w:rPr>
          <w:rFonts w:ascii="Arial" w:hAnsi="Arial" w:cs="Arial"/>
          <w:color w:val="000000"/>
          <w:lang w:eastAsia="en-GB"/>
        </w:rPr>
      </w:pPr>
    </w:p>
    <w:p w:rsidR="004B1624" w:rsidRPr="004B1624" w:rsidRDefault="004B1624" w:rsidP="0088447A">
      <w:pPr>
        <w:spacing w:after="120"/>
        <w:contextualSpacing/>
        <w:rPr>
          <w:rFonts w:ascii="Arial" w:hAnsi="Arial" w:cs="Arial"/>
          <w:color w:val="000000"/>
          <w:lang w:eastAsia="en-GB"/>
        </w:rPr>
      </w:pPr>
      <w:r w:rsidRPr="004B1624">
        <w:rPr>
          <w:rFonts w:ascii="Arial" w:hAnsi="Arial" w:cs="Arial"/>
          <w:color w:val="000000"/>
          <w:lang w:eastAsia="en-GB"/>
        </w:rPr>
        <w:t>However, a “reasonable fee” can be applied for the administrative costs of complying with the request if:</w:t>
      </w:r>
    </w:p>
    <w:p w:rsidR="004B1624" w:rsidRPr="004B1624" w:rsidRDefault="004B1624" w:rsidP="0088447A">
      <w:pPr>
        <w:pStyle w:val="ListParagraph"/>
        <w:numPr>
          <w:ilvl w:val="0"/>
          <w:numId w:val="12"/>
        </w:numPr>
        <w:spacing w:after="120"/>
        <w:rPr>
          <w:rFonts w:ascii="Arial" w:hAnsi="Arial" w:cs="Arial"/>
          <w:color w:val="000000"/>
          <w:lang w:eastAsia="en-GB"/>
        </w:rPr>
      </w:pPr>
      <w:r w:rsidRPr="004B1624">
        <w:rPr>
          <w:rFonts w:ascii="Arial" w:hAnsi="Arial" w:cs="Arial"/>
          <w:color w:val="000000"/>
          <w:lang w:eastAsia="en-GB"/>
        </w:rPr>
        <w:t>it is manifestly unfounded or excessive; or</w:t>
      </w:r>
    </w:p>
    <w:p w:rsidR="004B1624" w:rsidRPr="004B1624" w:rsidRDefault="004B1624" w:rsidP="0088447A">
      <w:pPr>
        <w:pStyle w:val="ListParagraph"/>
        <w:numPr>
          <w:ilvl w:val="0"/>
          <w:numId w:val="12"/>
        </w:numPr>
        <w:spacing w:after="120"/>
        <w:rPr>
          <w:rFonts w:ascii="Arial" w:hAnsi="Arial" w:cs="Arial"/>
          <w:color w:val="000000"/>
          <w:lang w:eastAsia="en-GB"/>
        </w:rPr>
      </w:pPr>
      <w:r w:rsidRPr="004B1624">
        <w:rPr>
          <w:rFonts w:ascii="Arial" w:hAnsi="Arial" w:cs="Arial"/>
          <w:color w:val="000000"/>
          <w:lang w:eastAsia="en-GB"/>
        </w:rPr>
        <w:t>an individual requests further copies of their data following a request.</w:t>
      </w:r>
    </w:p>
    <w:p w:rsidR="0088447A" w:rsidRDefault="0088447A" w:rsidP="0088447A">
      <w:pPr>
        <w:spacing w:after="120"/>
        <w:contextualSpacing/>
        <w:rPr>
          <w:rFonts w:ascii="Arial" w:hAnsi="Arial" w:cs="Arial"/>
          <w:color w:val="000000"/>
          <w:lang w:eastAsia="en-GB"/>
        </w:rPr>
      </w:pPr>
    </w:p>
    <w:p w:rsidR="004B1624" w:rsidRDefault="004B1624" w:rsidP="0088447A">
      <w:pPr>
        <w:spacing w:after="120"/>
        <w:contextualSpacing/>
        <w:rPr>
          <w:rFonts w:ascii="Arial" w:hAnsi="Arial" w:cs="Arial"/>
          <w:color w:val="000000"/>
          <w:lang w:eastAsia="en-GB"/>
        </w:rPr>
      </w:pPr>
      <w:r w:rsidRPr="004B1624">
        <w:rPr>
          <w:rFonts w:ascii="Arial" w:hAnsi="Arial" w:cs="Arial"/>
          <w:color w:val="000000"/>
          <w:lang w:eastAsia="en-GB"/>
        </w:rPr>
        <w:t>Where a reasonable fee is applied, it should be based on the administrative costs of complying with the request</w:t>
      </w:r>
      <w:r>
        <w:rPr>
          <w:rFonts w:ascii="Arial" w:hAnsi="Arial" w:cs="Arial"/>
          <w:color w:val="000000"/>
          <w:lang w:eastAsia="en-GB"/>
        </w:rPr>
        <w:t xml:space="preserve"> and the </w:t>
      </w:r>
      <w:r w:rsidRPr="004B1624">
        <w:rPr>
          <w:rFonts w:ascii="Arial" w:hAnsi="Arial" w:cs="Arial"/>
          <w:color w:val="000000"/>
          <w:lang w:eastAsia="en-GB"/>
        </w:rPr>
        <w:t>individual should be contacted promptly and the request does not need to be processed until the fee is received.</w:t>
      </w:r>
      <w:r>
        <w:rPr>
          <w:rFonts w:ascii="Arial" w:hAnsi="Arial" w:cs="Arial"/>
          <w:color w:val="000000"/>
          <w:lang w:eastAsia="en-GB"/>
        </w:rPr>
        <w:t xml:space="preserve">  </w:t>
      </w:r>
    </w:p>
    <w:p w:rsidR="0088447A" w:rsidRPr="004B1624" w:rsidRDefault="0088447A" w:rsidP="0088447A">
      <w:pPr>
        <w:spacing w:after="120"/>
        <w:contextualSpacing/>
        <w:rPr>
          <w:rFonts w:ascii="Arial" w:hAnsi="Arial" w:cs="Arial"/>
          <w:color w:val="000000"/>
          <w:lang w:eastAsia="en-GB"/>
        </w:rPr>
      </w:pPr>
    </w:p>
    <w:p w:rsidR="004B1624" w:rsidRPr="004B1624" w:rsidRDefault="004B1624" w:rsidP="0088447A">
      <w:pPr>
        <w:spacing w:after="120"/>
        <w:contextualSpacing/>
        <w:rPr>
          <w:rFonts w:ascii="Arial" w:hAnsi="Arial" w:cs="Arial"/>
          <w:color w:val="000000"/>
          <w:lang w:eastAsia="en-GB"/>
        </w:rPr>
      </w:pPr>
      <w:r w:rsidRPr="004B1624">
        <w:rPr>
          <w:rFonts w:ascii="Arial" w:hAnsi="Arial" w:cs="Arial"/>
          <w:color w:val="000000"/>
          <w:lang w:eastAsia="en-GB"/>
        </w:rPr>
        <w:t>Alternatively, the request can be refused if it is considered to be manifestly unfounded or an excessive request.</w:t>
      </w:r>
    </w:p>
    <w:p w:rsidR="0088447A" w:rsidRDefault="0088447A" w:rsidP="0088447A">
      <w:pPr>
        <w:spacing w:after="120"/>
        <w:contextualSpacing/>
        <w:jc w:val="both"/>
        <w:rPr>
          <w:rFonts w:ascii="Arial" w:hAnsi="Arial" w:cs="Arial"/>
          <w:lang w:val="en" w:eastAsia="en-GB"/>
        </w:rPr>
      </w:pPr>
    </w:p>
    <w:p w:rsidR="00064749" w:rsidRPr="00AD74C2" w:rsidRDefault="00064749" w:rsidP="0088447A">
      <w:pPr>
        <w:spacing w:after="120"/>
        <w:contextualSpacing/>
        <w:jc w:val="both"/>
        <w:rPr>
          <w:rFonts w:ascii="Arial" w:hAnsi="Arial" w:cs="Arial"/>
          <w:lang w:val="en" w:eastAsia="en-GB"/>
        </w:rPr>
      </w:pPr>
      <w:r w:rsidRPr="00AD74C2">
        <w:rPr>
          <w:rFonts w:ascii="Arial" w:hAnsi="Arial" w:cs="Arial"/>
          <w:lang w:val="en" w:eastAsia="en-GB"/>
        </w:rPr>
        <w:t>Under Section 12 of the Freedom of Information Act a public authority is not obliged to comply with a request for information if the authority estimates that the cost of complying with the request would exceed the “</w:t>
      </w:r>
      <w:r w:rsidRPr="00D02BA2">
        <w:rPr>
          <w:rFonts w:ascii="Arial" w:hAnsi="Arial" w:cs="Arial"/>
          <w:i/>
          <w:lang w:val="en" w:eastAsia="en-GB"/>
        </w:rPr>
        <w:t>appropriate limit</w:t>
      </w:r>
      <w:r w:rsidRPr="00AD74C2">
        <w:rPr>
          <w:rFonts w:ascii="Arial" w:hAnsi="Arial" w:cs="Arial"/>
          <w:lang w:val="en" w:eastAsia="en-GB"/>
        </w:rPr>
        <w:t xml:space="preserve">” prescribed in the regulations. </w:t>
      </w:r>
      <w:r>
        <w:rPr>
          <w:rFonts w:ascii="Arial" w:hAnsi="Arial" w:cs="Arial"/>
          <w:lang w:val="en" w:eastAsia="en-GB"/>
        </w:rPr>
        <w:t xml:space="preserve"> </w:t>
      </w:r>
      <w:r w:rsidRPr="00AD74C2">
        <w:rPr>
          <w:rFonts w:ascii="Arial" w:hAnsi="Arial" w:cs="Arial"/>
          <w:lang w:val="en" w:eastAsia="en-GB"/>
        </w:rPr>
        <w:t xml:space="preserve">The Freedom of Information and Data Protection (Appropriate Limit and Fees) Regulations 2004, identify the “appropriate limit” of fees and charges the council is permitted to levy in response to requests made under Freedom of Information. </w:t>
      </w:r>
      <w:r>
        <w:rPr>
          <w:rFonts w:ascii="Arial" w:hAnsi="Arial" w:cs="Arial"/>
          <w:lang w:val="en" w:eastAsia="en-GB"/>
        </w:rPr>
        <w:t xml:space="preserve"> </w:t>
      </w:r>
      <w:r w:rsidRPr="00AD74C2">
        <w:rPr>
          <w:rFonts w:ascii="Arial" w:hAnsi="Arial" w:cs="Arial"/>
          <w:lang w:val="en" w:eastAsia="en-GB"/>
        </w:rPr>
        <w:t xml:space="preserve">This also applies to requests for “unstructured” personal information under Section 9A of the Data Protection Act 1998 (inserted by section 69 of FOIA). </w:t>
      </w:r>
    </w:p>
    <w:p w:rsidR="0088447A" w:rsidRDefault="0088447A" w:rsidP="0088447A">
      <w:pPr>
        <w:spacing w:after="120"/>
        <w:contextualSpacing/>
        <w:jc w:val="both"/>
        <w:rPr>
          <w:rFonts w:ascii="Arial" w:hAnsi="Arial" w:cs="Arial"/>
          <w:lang w:val="en" w:eastAsia="en-GB"/>
        </w:rPr>
      </w:pPr>
    </w:p>
    <w:p w:rsidR="00064749" w:rsidRPr="00AD74C2"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There is no “appropriate limit” to the cost of complying with requests for environmental information. </w:t>
      </w:r>
      <w:r>
        <w:rPr>
          <w:rFonts w:ascii="Arial" w:hAnsi="Arial" w:cs="Arial"/>
          <w:lang w:val="en" w:eastAsia="en-GB"/>
        </w:rPr>
        <w:t xml:space="preserve"> </w:t>
      </w:r>
      <w:r w:rsidRPr="00AD74C2">
        <w:rPr>
          <w:rFonts w:ascii="Arial" w:hAnsi="Arial" w:cs="Arial"/>
          <w:lang w:val="en" w:eastAsia="en-GB"/>
        </w:rPr>
        <w:t>However, Regulation 8 of the Environmental Information Regulations 2004,</w:t>
      </w:r>
      <w:r w:rsidRPr="00AD74C2">
        <w:rPr>
          <w:rFonts w:ascii="Arial" w:hAnsi="Arial" w:cs="Arial"/>
          <w:b/>
          <w:bCs/>
          <w:lang w:val="en" w:eastAsia="en-GB"/>
        </w:rPr>
        <w:t xml:space="preserve"> </w:t>
      </w:r>
      <w:r w:rsidRPr="00AD74C2">
        <w:rPr>
          <w:rFonts w:ascii="Arial" w:hAnsi="Arial" w:cs="Arial"/>
          <w:lang w:val="en" w:eastAsia="en-GB"/>
        </w:rPr>
        <w:t xml:space="preserve">provides for the recovery of “reasonable” costs. </w:t>
      </w:r>
    </w:p>
    <w:p w:rsidR="002577BC" w:rsidRDefault="002577BC" w:rsidP="0088447A">
      <w:pPr>
        <w:spacing w:after="120"/>
        <w:contextualSpacing/>
        <w:jc w:val="both"/>
        <w:outlineLvl w:val="1"/>
        <w:rPr>
          <w:rFonts w:ascii="Arial" w:hAnsi="Arial" w:cs="Arial"/>
          <w:b/>
          <w:bCs/>
          <w:sz w:val="36"/>
          <w:szCs w:val="36"/>
          <w:lang w:val="en" w:eastAsia="en-GB"/>
        </w:rPr>
      </w:pPr>
    </w:p>
    <w:p w:rsidR="0088447A" w:rsidRDefault="0088447A">
      <w:pPr>
        <w:rPr>
          <w:rFonts w:ascii="Arial" w:hAnsi="Arial" w:cs="Arial"/>
          <w:b/>
          <w:bCs/>
          <w:sz w:val="36"/>
          <w:szCs w:val="36"/>
          <w:lang w:val="en" w:eastAsia="en-GB"/>
        </w:rPr>
      </w:pPr>
      <w:r>
        <w:rPr>
          <w:rFonts w:ascii="Arial" w:hAnsi="Arial" w:cs="Arial"/>
          <w:b/>
          <w:bCs/>
          <w:sz w:val="36"/>
          <w:szCs w:val="36"/>
          <w:lang w:val="en" w:eastAsia="en-GB"/>
        </w:rPr>
        <w:br w:type="page"/>
      </w:r>
    </w:p>
    <w:p w:rsidR="00064749" w:rsidRPr="00AD74C2" w:rsidRDefault="00D02BA2" w:rsidP="0088447A">
      <w:pPr>
        <w:spacing w:after="120"/>
        <w:contextualSpacing/>
        <w:jc w:val="both"/>
        <w:outlineLvl w:val="1"/>
        <w:rPr>
          <w:rFonts w:ascii="Arial" w:hAnsi="Arial" w:cs="Arial"/>
          <w:b/>
          <w:bCs/>
          <w:sz w:val="36"/>
          <w:szCs w:val="36"/>
          <w:lang w:val="en" w:eastAsia="en-GB"/>
        </w:rPr>
      </w:pPr>
      <w:r>
        <w:rPr>
          <w:rFonts w:ascii="Arial" w:hAnsi="Arial" w:cs="Arial"/>
          <w:b/>
          <w:bCs/>
          <w:sz w:val="36"/>
          <w:szCs w:val="36"/>
          <w:lang w:val="en" w:eastAsia="en-GB"/>
        </w:rPr>
        <w:lastRenderedPageBreak/>
        <w:t>The ‘Appropriate L</w:t>
      </w:r>
      <w:r w:rsidR="00064749" w:rsidRPr="00AD74C2">
        <w:rPr>
          <w:rFonts w:ascii="Arial" w:hAnsi="Arial" w:cs="Arial"/>
          <w:b/>
          <w:bCs/>
          <w:sz w:val="36"/>
          <w:szCs w:val="36"/>
          <w:lang w:val="en" w:eastAsia="en-GB"/>
        </w:rPr>
        <w:t xml:space="preserve">imit’ </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Under Regulation 4 of the Freedom of Information and Data Protection (Appropriate Limit and Fees) Regulations 2004, the “appropriate limit” is set at £450 for Local Authorities.</w:t>
      </w:r>
    </w:p>
    <w:p w:rsidR="0088447A" w:rsidRPr="00AD74C2"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This is calculated on a standard rate of £25 per hour based on estimating the staff time taken to: </w:t>
      </w:r>
    </w:p>
    <w:p w:rsidR="0088447A" w:rsidRDefault="0088447A" w:rsidP="0088447A">
      <w:pPr>
        <w:spacing w:after="120"/>
        <w:contextualSpacing/>
        <w:jc w:val="both"/>
        <w:rPr>
          <w:rFonts w:ascii="Arial" w:hAnsi="Arial" w:cs="Arial"/>
          <w:lang w:val="en" w:eastAsia="en-GB"/>
        </w:rPr>
      </w:pPr>
    </w:p>
    <w:p w:rsidR="00064749" w:rsidRPr="00AD74C2" w:rsidRDefault="00064749" w:rsidP="0088447A">
      <w:pPr>
        <w:numPr>
          <w:ilvl w:val="0"/>
          <w:numId w:val="4"/>
        </w:numPr>
        <w:spacing w:after="120"/>
        <w:contextualSpacing/>
        <w:jc w:val="both"/>
        <w:rPr>
          <w:rFonts w:ascii="Arial" w:hAnsi="Arial" w:cs="Arial"/>
          <w:lang w:val="en" w:eastAsia="en-GB"/>
        </w:rPr>
      </w:pPr>
      <w:r w:rsidRPr="00AD74C2">
        <w:rPr>
          <w:rFonts w:ascii="Arial" w:hAnsi="Arial" w:cs="Arial"/>
          <w:lang w:val="en" w:eastAsia="en-GB"/>
        </w:rPr>
        <w:t xml:space="preserve">Determine if the information is held </w:t>
      </w:r>
    </w:p>
    <w:p w:rsidR="00064749" w:rsidRPr="00AD74C2" w:rsidRDefault="00064749" w:rsidP="0088447A">
      <w:pPr>
        <w:numPr>
          <w:ilvl w:val="0"/>
          <w:numId w:val="4"/>
        </w:numPr>
        <w:spacing w:after="120"/>
        <w:contextualSpacing/>
        <w:jc w:val="both"/>
        <w:rPr>
          <w:rFonts w:ascii="Arial" w:hAnsi="Arial" w:cs="Arial"/>
          <w:lang w:val="en" w:eastAsia="en-GB"/>
        </w:rPr>
      </w:pPr>
      <w:r w:rsidRPr="00AD74C2">
        <w:rPr>
          <w:rFonts w:ascii="Arial" w:hAnsi="Arial" w:cs="Arial"/>
          <w:lang w:val="en" w:eastAsia="en-GB"/>
        </w:rPr>
        <w:t>Locate the information or a document which may contain the information</w:t>
      </w:r>
    </w:p>
    <w:p w:rsidR="00064749" w:rsidRPr="00AD74C2" w:rsidRDefault="00064749" w:rsidP="0088447A">
      <w:pPr>
        <w:numPr>
          <w:ilvl w:val="0"/>
          <w:numId w:val="4"/>
        </w:numPr>
        <w:spacing w:after="120"/>
        <w:contextualSpacing/>
        <w:jc w:val="both"/>
        <w:rPr>
          <w:rFonts w:ascii="Arial" w:hAnsi="Arial" w:cs="Arial"/>
          <w:lang w:val="en" w:eastAsia="en-GB"/>
        </w:rPr>
      </w:pPr>
      <w:r w:rsidRPr="00AD74C2">
        <w:rPr>
          <w:rFonts w:ascii="Arial" w:hAnsi="Arial" w:cs="Arial"/>
          <w:lang w:val="en" w:eastAsia="en-GB"/>
        </w:rPr>
        <w:t xml:space="preserve">Retrieve the information, or a document, which may contain the information </w:t>
      </w:r>
    </w:p>
    <w:p w:rsidR="00064749" w:rsidRPr="00AD74C2" w:rsidRDefault="00064749" w:rsidP="0088447A">
      <w:pPr>
        <w:numPr>
          <w:ilvl w:val="0"/>
          <w:numId w:val="4"/>
        </w:numPr>
        <w:spacing w:after="120"/>
        <w:contextualSpacing/>
        <w:jc w:val="both"/>
        <w:rPr>
          <w:rFonts w:ascii="Arial" w:hAnsi="Arial" w:cs="Arial"/>
          <w:lang w:val="en" w:eastAsia="en-GB"/>
        </w:rPr>
      </w:pPr>
      <w:r w:rsidRPr="00AD74C2">
        <w:rPr>
          <w:rFonts w:ascii="Arial" w:hAnsi="Arial" w:cs="Arial"/>
          <w:lang w:val="en" w:eastAsia="en-GB"/>
        </w:rPr>
        <w:t xml:space="preserve">Edit or extract the releasable information contained within a document </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This calculation does not take into account the time spent/costs of: </w:t>
      </w:r>
    </w:p>
    <w:p w:rsidR="0088447A" w:rsidRDefault="0088447A" w:rsidP="0088447A">
      <w:pPr>
        <w:spacing w:after="120"/>
        <w:contextualSpacing/>
        <w:jc w:val="both"/>
        <w:rPr>
          <w:rFonts w:ascii="Arial" w:hAnsi="Arial" w:cs="Arial"/>
          <w:lang w:val="en" w:eastAsia="en-GB"/>
        </w:rPr>
      </w:pPr>
    </w:p>
    <w:p w:rsidR="00064749" w:rsidRPr="00AD74C2" w:rsidRDefault="00064749" w:rsidP="0088447A">
      <w:pPr>
        <w:numPr>
          <w:ilvl w:val="0"/>
          <w:numId w:val="5"/>
        </w:numPr>
        <w:spacing w:after="120"/>
        <w:contextualSpacing/>
        <w:jc w:val="both"/>
        <w:rPr>
          <w:rFonts w:ascii="Arial" w:hAnsi="Arial" w:cs="Arial"/>
          <w:lang w:val="en" w:eastAsia="en-GB"/>
        </w:rPr>
      </w:pPr>
      <w:r w:rsidRPr="00AD74C2">
        <w:rPr>
          <w:rFonts w:ascii="Arial" w:hAnsi="Arial" w:cs="Arial"/>
          <w:lang w:val="en" w:eastAsia="en-GB"/>
        </w:rPr>
        <w:t>Checking that a request for information meets the requirements of FOIA</w:t>
      </w:r>
    </w:p>
    <w:p w:rsidR="00064749" w:rsidRPr="00AD74C2" w:rsidRDefault="00064749" w:rsidP="0088447A">
      <w:pPr>
        <w:numPr>
          <w:ilvl w:val="0"/>
          <w:numId w:val="5"/>
        </w:numPr>
        <w:spacing w:after="120"/>
        <w:contextualSpacing/>
        <w:jc w:val="both"/>
        <w:rPr>
          <w:rFonts w:ascii="Arial" w:hAnsi="Arial" w:cs="Arial"/>
          <w:lang w:val="en" w:eastAsia="en-GB"/>
        </w:rPr>
      </w:pPr>
      <w:r w:rsidRPr="00AD74C2">
        <w:rPr>
          <w:rFonts w:ascii="Arial" w:hAnsi="Arial" w:cs="Arial"/>
          <w:lang w:val="en" w:eastAsia="en-GB"/>
        </w:rPr>
        <w:t>Considering the application of exemptions; prejudice and/or public interest tests</w:t>
      </w:r>
    </w:p>
    <w:p w:rsidR="00064749" w:rsidRPr="00AD74C2" w:rsidRDefault="00064749" w:rsidP="0088447A">
      <w:pPr>
        <w:numPr>
          <w:ilvl w:val="0"/>
          <w:numId w:val="5"/>
        </w:numPr>
        <w:spacing w:after="120"/>
        <w:contextualSpacing/>
        <w:jc w:val="both"/>
        <w:rPr>
          <w:rFonts w:ascii="Arial" w:hAnsi="Arial" w:cs="Arial"/>
          <w:lang w:val="en" w:eastAsia="en-GB"/>
        </w:rPr>
      </w:pPr>
      <w:r w:rsidRPr="00AD74C2">
        <w:rPr>
          <w:rFonts w:ascii="Arial" w:hAnsi="Arial" w:cs="Arial"/>
          <w:lang w:val="en" w:eastAsia="en-GB"/>
        </w:rPr>
        <w:t>Obtaining internal or external legal advice</w:t>
      </w:r>
    </w:p>
    <w:p w:rsidR="00064749" w:rsidRDefault="00064749" w:rsidP="0088447A">
      <w:pPr>
        <w:numPr>
          <w:ilvl w:val="0"/>
          <w:numId w:val="5"/>
        </w:numPr>
        <w:spacing w:after="120"/>
        <w:contextualSpacing/>
        <w:jc w:val="both"/>
        <w:rPr>
          <w:rFonts w:ascii="Arial" w:hAnsi="Arial" w:cs="Arial"/>
          <w:lang w:val="en" w:eastAsia="en-GB"/>
        </w:rPr>
      </w:pPr>
      <w:r w:rsidRPr="00AD74C2">
        <w:rPr>
          <w:rFonts w:ascii="Arial" w:hAnsi="Arial" w:cs="Arial"/>
          <w:lang w:val="en" w:eastAsia="en-GB"/>
        </w:rPr>
        <w:t>Consulting with third parties and obtaining authorization to send out information</w:t>
      </w:r>
      <w:r w:rsidR="00D02BA2">
        <w:rPr>
          <w:rFonts w:ascii="Arial" w:hAnsi="Arial" w:cs="Arial"/>
          <w:lang w:val="en" w:eastAsia="en-GB"/>
        </w:rPr>
        <w:t>.</w:t>
      </w:r>
    </w:p>
    <w:p w:rsidR="0088447A" w:rsidRDefault="0088447A" w:rsidP="0088447A">
      <w:pPr>
        <w:spacing w:after="120"/>
        <w:ind w:left="7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Based on the standard hourly rate of £25 specified in the FOIA Fees Regulations, the maximum amount of staff time spent finding, retrieving, collating and editing before exceeding the £450 cost limit is 18 hours. </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Charges made under EIR may not exceed the “actual costs of producing the information” unless the public authority is entitled to levy a market based charge for the information.</w:t>
      </w:r>
      <w:r>
        <w:rPr>
          <w:rFonts w:ascii="Arial" w:hAnsi="Arial" w:cs="Arial"/>
          <w:lang w:val="en" w:eastAsia="en-GB"/>
        </w:rPr>
        <w:t xml:space="preserve"> </w:t>
      </w:r>
      <w:r w:rsidRPr="00AD74C2">
        <w:rPr>
          <w:rFonts w:ascii="Arial" w:hAnsi="Arial" w:cs="Arial"/>
          <w:lang w:val="en" w:eastAsia="en-GB"/>
        </w:rPr>
        <w:t xml:space="preserve"> No charges can be made for allowing an applicant:</w:t>
      </w:r>
    </w:p>
    <w:p w:rsidR="0088447A" w:rsidRDefault="0088447A" w:rsidP="0088447A">
      <w:pPr>
        <w:spacing w:after="120"/>
        <w:contextualSpacing/>
        <w:jc w:val="both"/>
        <w:rPr>
          <w:rFonts w:ascii="Arial" w:hAnsi="Arial" w:cs="Arial"/>
          <w:lang w:val="en" w:eastAsia="en-GB"/>
        </w:rPr>
      </w:pPr>
    </w:p>
    <w:p w:rsidR="00064749" w:rsidRPr="00AD74C2" w:rsidRDefault="00064749" w:rsidP="0088447A">
      <w:pPr>
        <w:numPr>
          <w:ilvl w:val="0"/>
          <w:numId w:val="6"/>
        </w:numPr>
        <w:spacing w:after="120"/>
        <w:contextualSpacing/>
        <w:jc w:val="both"/>
        <w:rPr>
          <w:rFonts w:ascii="Arial" w:hAnsi="Arial" w:cs="Arial"/>
          <w:lang w:val="en" w:eastAsia="en-GB"/>
        </w:rPr>
      </w:pPr>
      <w:r w:rsidRPr="00AD74C2">
        <w:rPr>
          <w:rFonts w:ascii="Arial" w:hAnsi="Arial" w:cs="Arial"/>
          <w:lang w:val="en" w:eastAsia="en-GB"/>
        </w:rPr>
        <w:t>Access to a public register or list of environmental information</w:t>
      </w:r>
    </w:p>
    <w:p w:rsidR="00064749" w:rsidRDefault="00064749" w:rsidP="0088447A">
      <w:pPr>
        <w:numPr>
          <w:ilvl w:val="0"/>
          <w:numId w:val="6"/>
        </w:numPr>
        <w:spacing w:after="120"/>
        <w:contextualSpacing/>
        <w:jc w:val="both"/>
        <w:rPr>
          <w:rFonts w:ascii="Arial" w:hAnsi="Arial" w:cs="Arial"/>
          <w:lang w:val="en" w:eastAsia="en-GB"/>
        </w:rPr>
      </w:pPr>
      <w:r w:rsidRPr="00AD74C2">
        <w:rPr>
          <w:rFonts w:ascii="Arial" w:hAnsi="Arial" w:cs="Arial"/>
          <w:lang w:val="en" w:eastAsia="en-GB"/>
        </w:rPr>
        <w:t>To examine the information requested at the place which the public authority makes available for that purpose</w:t>
      </w:r>
      <w:r w:rsidR="00D02BA2">
        <w:rPr>
          <w:rFonts w:ascii="Arial" w:hAnsi="Arial" w:cs="Arial"/>
          <w:lang w:val="en" w:eastAsia="en-GB"/>
        </w:rPr>
        <w:t>.</w:t>
      </w:r>
    </w:p>
    <w:p w:rsidR="0088447A" w:rsidRDefault="0088447A" w:rsidP="0088447A">
      <w:pPr>
        <w:numPr>
          <w:ilvl w:val="0"/>
          <w:numId w:val="6"/>
        </w:num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Under both FOIA and EIR, the actual costs of communicating information released to the applicant are recoverable. </w:t>
      </w:r>
      <w:r>
        <w:rPr>
          <w:rFonts w:ascii="Arial" w:hAnsi="Arial" w:cs="Arial"/>
          <w:lang w:val="en" w:eastAsia="en-GB"/>
        </w:rPr>
        <w:t xml:space="preserve"> </w:t>
      </w:r>
      <w:r w:rsidRPr="00AD74C2">
        <w:rPr>
          <w:rFonts w:ascii="Arial" w:hAnsi="Arial" w:cs="Arial"/>
          <w:lang w:val="en" w:eastAsia="en-GB"/>
        </w:rPr>
        <w:t xml:space="preserve">This includes the cost of printing, photocopying, postage and/or supplying the information in a particular form. </w:t>
      </w:r>
    </w:p>
    <w:p w:rsidR="002577BC" w:rsidRDefault="002577BC" w:rsidP="0088447A">
      <w:pPr>
        <w:spacing w:after="120"/>
        <w:contextualSpacing/>
        <w:jc w:val="both"/>
        <w:outlineLvl w:val="1"/>
        <w:rPr>
          <w:rFonts w:ascii="Arial" w:hAnsi="Arial" w:cs="Arial"/>
          <w:b/>
          <w:bCs/>
          <w:sz w:val="36"/>
          <w:szCs w:val="36"/>
          <w:lang w:val="en" w:eastAsia="en-GB"/>
        </w:rPr>
      </w:pPr>
    </w:p>
    <w:p w:rsidR="00064749" w:rsidRPr="00AD74C2" w:rsidRDefault="00064749" w:rsidP="0088447A">
      <w:pPr>
        <w:spacing w:after="120"/>
        <w:contextualSpacing/>
        <w:jc w:val="both"/>
        <w:outlineLvl w:val="1"/>
        <w:rPr>
          <w:rFonts w:ascii="Arial" w:hAnsi="Arial" w:cs="Arial"/>
          <w:b/>
          <w:bCs/>
          <w:sz w:val="36"/>
          <w:szCs w:val="36"/>
          <w:lang w:val="en" w:eastAsia="en-GB"/>
        </w:rPr>
      </w:pPr>
      <w:r w:rsidRPr="00AD74C2">
        <w:rPr>
          <w:rFonts w:ascii="Arial" w:hAnsi="Arial" w:cs="Arial"/>
          <w:b/>
          <w:bCs/>
          <w:sz w:val="36"/>
          <w:szCs w:val="36"/>
          <w:lang w:val="en" w:eastAsia="en-GB"/>
        </w:rPr>
        <w:t>Estimating the cost of an information request</w:t>
      </w:r>
    </w:p>
    <w:p w:rsidR="00064749" w:rsidRDefault="00D02BA2" w:rsidP="0088447A">
      <w:pPr>
        <w:spacing w:after="120"/>
        <w:contextualSpacing/>
        <w:jc w:val="both"/>
        <w:outlineLvl w:val="2"/>
        <w:rPr>
          <w:rFonts w:ascii="Arial" w:hAnsi="Arial" w:cs="Arial"/>
          <w:b/>
          <w:bCs/>
          <w:sz w:val="28"/>
          <w:szCs w:val="28"/>
          <w:lang w:val="en" w:eastAsia="en-GB"/>
        </w:rPr>
      </w:pPr>
      <w:r>
        <w:rPr>
          <w:rFonts w:ascii="Arial" w:hAnsi="Arial" w:cs="Arial"/>
          <w:b/>
          <w:bCs/>
          <w:sz w:val="28"/>
          <w:szCs w:val="28"/>
          <w:lang w:val="en" w:eastAsia="en-GB"/>
        </w:rPr>
        <w:t>FOIA Information R</w:t>
      </w:r>
      <w:r w:rsidR="00064749" w:rsidRPr="00AD74C2">
        <w:rPr>
          <w:rFonts w:ascii="Arial" w:hAnsi="Arial" w:cs="Arial"/>
          <w:b/>
          <w:bCs/>
          <w:sz w:val="28"/>
          <w:szCs w:val="28"/>
          <w:lang w:val="en" w:eastAsia="en-GB"/>
        </w:rPr>
        <w:t xml:space="preserve">equests </w:t>
      </w:r>
    </w:p>
    <w:p w:rsidR="0088447A" w:rsidRDefault="0088447A" w:rsidP="0088447A">
      <w:pPr>
        <w:spacing w:after="120"/>
        <w:contextualSpacing/>
        <w:jc w:val="both"/>
        <w:outlineLvl w:val="2"/>
        <w:rPr>
          <w:rFonts w:ascii="Arial" w:hAnsi="Arial" w:cs="Arial"/>
          <w:b/>
          <w:bCs/>
          <w:sz w:val="28"/>
          <w:szCs w:val="28"/>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The council makes information available through its publication scheme. </w:t>
      </w:r>
      <w:r>
        <w:rPr>
          <w:rFonts w:ascii="Arial" w:hAnsi="Arial" w:cs="Arial"/>
          <w:lang w:val="en" w:eastAsia="en-GB"/>
        </w:rPr>
        <w:t xml:space="preserve"> </w:t>
      </w:r>
      <w:r w:rsidRPr="00AD74C2">
        <w:rPr>
          <w:rFonts w:ascii="Arial" w:hAnsi="Arial" w:cs="Arial"/>
          <w:lang w:val="en" w:eastAsia="en-GB"/>
        </w:rPr>
        <w:t xml:space="preserve">Most information in the scheme is available free of charge. </w:t>
      </w:r>
      <w:r>
        <w:rPr>
          <w:rFonts w:ascii="Arial" w:hAnsi="Arial" w:cs="Arial"/>
          <w:lang w:val="en" w:eastAsia="en-GB"/>
        </w:rPr>
        <w:t xml:space="preserve"> </w:t>
      </w:r>
      <w:r w:rsidRPr="00AD74C2">
        <w:rPr>
          <w:rFonts w:ascii="Arial" w:hAnsi="Arial" w:cs="Arial"/>
          <w:lang w:val="en" w:eastAsia="en-GB"/>
        </w:rPr>
        <w:t>Where charges apply, they will be indicated in the scheme.</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The Freedom of Information Act is intended to build on existing access channels rather than replace existing access regimes. </w:t>
      </w:r>
      <w:r>
        <w:rPr>
          <w:rFonts w:ascii="Arial" w:hAnsi="Arial" w:cs="Arial"/>
          <w:lang w:val="en" w:eastAsia="en-GB"/>
        </w:rPr>
        <w:t xml:space="preserve"> </w:t>
      </w:r>
      <w:r w:rsidRPr="00AD74C2">
        <w:rPr>
          <w:rFonts w:ascii="Arial" w:hAnsi="Arial" w:cs="Arial"/>
          <w:lang w:val="en" w:eastAsia="en-GB"/>
        </w:rPr>
        <w:t xml:space="preserve">Therefore if information is reasonably accessible to applicants through other means, such as through other legislation or the council’s publication scheme, it is exempt from FOIA. </w:t>
      </w:r>
      <w:r>
        <w:rPr>
          <w:rFonts w:ascii="Arial" w:hAnsi="Arial" w:cs="Arial"/>
          <w:lang w:val="en" w:eastAsia="en-GB"/>
        </w:rPr>
        <w:t xml:space="preserve"> </w:t>
      </w:r>
      <w:r w:rsidRPr="00AD74C2">
        <w:rPr>
          <w:rFonts w:ascii="Arial" w:hAnsi="Arial" w:cs="Arial"/>
          <w:lang w:val="en" w:eastAsia="en-GB"/>
        </w:rPr>
        <w:t xml:space="preserve">Where information is otherwise </w:t>
      </w:r>
      <w:r w:rsidRPr="00AD74C2">
        <w:rPr>
          <w:rFonts w:ascii="Arial" w:hAnsi="Arial" w:cs="Arial"/>
          <w:lang w:val="en" w:eastAsia="en-GB"/>
        </w:rPr>
        <w:lastRenderedPageBreak/>
        <w:t xml:space="preserve">available, this means the rules for costing and charging for compliance with the act do not apply. </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For information that is not otherwise accessible, if it is estimated that a request will take less than 18 hours to complete and there is no reason to withhold the information, the request will be dealt with free of charge except for disbursement costs</w:t>
      </w:r>
      <w:r>
        <w:rPr>
          <w:rFonts w:ascii="Arial" w:hAnsi="Arial" w:cs="Arial"/>
          <w:lang w:val="en" w:eastAsia="en-GB"/>
        </w:rPr>
        <w:t xml:space="preserve">. </w:t>
      </w:r>
    </w:p>
    <w:p w:rsidR="0088447A" w:rsidRDefault="0088447A" w:rsidP="0088447A">
      <w:pPr>
        <w:spacing w:after="120"/>
        <w:contextualSpacing/>
        <w:jc w:val="both"/>
        <w:rPr>
          <w:rFonts w:ascii="Arial" w:hAnsi="Arial" w:cs="Arial"/>
          <w:lang w:val="en" w:eastAsia="en-GB"/>
        </w:rPr>
      </w:pPr>
    </w:p>
    <w:p w:rsidR="0088447A" w:rsidRDefault="00064749" w:rsidP="0088447A">
      <w:pPr>
        <w:spacing w:after="120"/>
        <w:contextualSpacing/>
        <w:jc w:val="both"/>
        <w:rPr>
          <w:rFonts w:ascii="Arial" w:hAnsi="Arial" w:cs="Arial"/>
          <w:lang w:val="en" w:eastAsia="en-GB"/>
        </w:rPr>
      </w:pPr>
      <w:r w:rsidRPr="00AD74C2">
        <w:rPr>
          <w:rFonts w:ascii="Arial" w:hAnsi="Arial" w:cs="Arial"/>
          <w:lang w:val="en" w:eastAsia="en-GB"/>
        </w:rPr>
        <w:t>If it is estimated that such a request will take more than 18 hours to complete</w:t>
      </w:r>
      <w:r>
        <w:rPr>
          <w:rFonts w:ascii="Arial" w:hAnsi="Arial" w:cs="Arial"/>
          <w:lang w:val="en" w:eastAsia="en-GB"/>
        </w:rPr>
        <w:t xml:space="preserve"> </w:t>
      </w:r>
      <w:r w:rsidRPr="00AD74C2">
        <w:rPr>
          <w:rFonts w:ascii="Arial" w:hAnsi="Arial" w:cs="Arial"/>
          <w:lang w:val="en" w:eastAsia="en-GB"/>
        </w:rPr>
        <w:t xml:space="preserve">the council is not obliged to comply with the request and </w:t>
      </w:r>
      <w:r w:rsidR="00D02BA2">
        <w:rPr>
          <w:rFonts w:ascii="Arial" w:hAnsi="Arial" w:cs="Arial"/>
          <w:lang w:val="en" w:eastAsia="en-GB"/>
        </w:rPr>
        <w:t>may</w:t>
      </w:r>
      <w:r w:rsidRPr="00AD74C2">
        <w:rPr>
          <w:rFonts w:ascii="Arial" w:hAnsi="Arial" w:cs="Arial"/>
          <w:lang w:val="en" w:eastAsia="en-GB"/>
        </w:rPr>
        <w:t xml:space="preserve"> turn down requests exceeding this limit. </w:t>
      </w:r>
      <w:r>
        <w:rPr>
          <w:rFonts w:ascii="Arial" w:hAnsi="Arial" w:cs="Arial"/>
          <w:lang w:val="en" w:eastAsia="en-GB"/>
        </w:rPr>
        <w:t xml:space="preserve"> </w:t>
      </w:r>
      <w:r w:rsidRPr="00AD74C2">
        <w:rPr>
          <w:rFonts w:ascii="Arial" w:hAnsi="Arial" w:cs="Arial"/>
          <w:lang w:val="en" w:eastAsia="en-GB"/>
        </w:rPr>
        <w:t>Applicants will be assisted to make the request smaller and more precisely focused.</w:t>
      </w:r>
    </w:p>
    <w:p w:rsidR="0088447A" w:rsidRDefault="0088447A" w:rsidP="0088447A">
      <w:pPr>
        <w:spacing w:after="120"/>
        <w:contextualSpacing/>
        <w:jc w:val="both"/>
        <w:rPr>
          <w:rFonts w:ascii="Arial" w:hAnsi="Arial" w:cs="Arial"/>
          <w:lang w:val="en" w:eastAsia="en-GB"/>
        </w:rPr>
      </w:pPr>
    </w:p>
    <w:p w:rsidR="00390108" w:rsidRPr="0088447A" w:rsidRDefault="00390108" w:rsidP="0088447A">
      <w:pPr>
        <w:spacing w:after="120"/>
        <w:contextualSpacing/>
        <w:jc w:val="both"/>
        <w:rPr>
          <w:rFonts w:ascii="Arial" w:hAnsi="Arial" w:cs="Arial"/>
          <w:b/>
          <w:sz w:val="28"/>
          <w:szCs w:val="28"/>
        </w:rPr>
      </w:pPr>
      <w:r w:rsidRPr="0088447A">
        <w:rPr>
          <w:rFonts w:ascii="Arial" w:hAnsi="Arial" w:cs="Arial"/>
          <w:b/>
          <w:sz w:val="28"/>
          <w:szCs w:val="28"/>
        </w:rPr>
        <w:t>Professional Charges:</w:t>
      </w:r>
    </w:p>
    <w:p w:rsidR="00390108" w:rsidRDefault="00390108" w:rsidP="0088447A">
      <w:pPr>
        <w:pStyle w:val="BodyText"/>
        <w:spacing w:before="0" w:after="120"/>
        <w:contextualSpacing/>
        <w:rPr>
          <w:sz w:val="24"/>
        </w:rPr>
      </w:pPr>
      <w:r w:rsidRPr="00390108">
        <w:rPr>
          <w:sz w:val="24"/>
        </w:rPr>
        <w:t xml:space="preserve">In exceptional circumstances, the Council may have to employ external specialists or other professionals to gather and prepare information to meet a specific request.  A fees notice (a written estimate), to include time and materials spent by Council staff, will be given of the cost of providing such information.  </w:t>
      </w:r>
    </w:p>
    <w:p w:rsidR="0088447A" w:rsidRPr="00390108" w:rsidRDefault="0088447A" w:rsidP="0088447A">
      <w:pPr>
        <w:pStyle w:val="BodyText"/>
        <w:spacing w:before="0" w:after="120"/>
        <w:contextualSpacing/>
        <w:rPr>
          <w:sz w:val="24"/>
        </w:rPr>
      </w:pPr>
    </w:p>
    <w:p w:rsidR="00390108" w:rsidRPr="00390108" w:rsidRDefault="00390108" w:rsidP="0088447A">
      <w:pPr>
        <w:pStyle w:val="BodyText"/>
        <w:spacing w:before="0" w:after="120"/>
        <w:contextualSpacing/>
        <w:rPr>
          <w:sz w:val="24"/>
        </w:rPr>
      </w:pPr>
      <w:r w:rsidRPr="00390108">
        <w:rPr>
          <w:sz w:val="24"/>
        </w:rPr>
        <w:t xml:space="preserve">VAT is not payable on requests for information under the Council’s Publication Scheme and covered by the Freedom of Information Act 2000. </w:t>
      </w:r>
    </w:p>
    <w:p w:rsidR="0088447A" w:rsidRDefault="0088447A" w:rsidP="0088447A">
      <w:pPr>
        <w:spacing w:after="120"/>
        <w:contextualSpacing/>
        <w:jc w:val="both"/>
        <w:outlineLvl w:val="2"/>
        <w:rPr>
          <w:rFonts w:ascii="Arial" w:hAnsi="Arial" w:cs="Arial"/>
          <w:b/>
          <w:bCs/>
          <w:sz w:val="28"/>
          <w:szCs w:val="28"/>
          <w:lang w:val="en" w:eastAsia="en-GB"/>
        </w:rPr>
      </w:pPr>
    </w:p>
    <w:p w:rsidR="00064749" w:rsidRDefault="00D02BA2" w:rsidP="0088447A">
      <w:pPr>
        <w:spacing w:after="120"/>
        <w:contextualSpacing/>
        <w:jc w:val="both"/>
        <w:outlineLvl w:val="2"/>
        <w:rPr>
          <w:rFonts w:ascii="Arial" w:hAnsi="Arial" w:cs="Arial"/>
          <w:b/>
          <w:bCs/>
          <w:sz w:val="28"/>
          <w:szCs w:val="28"/>
          <w:lang w:val="en" w:eastAsia="en-GB"/>
        </w:rPr>
      </w:pPr>
      <w:r>
        <w:rPr>
          <w:rFonts w:ascii="Arial" w:hAnsi="Arial" w:cs="Arial"/>
          <w:b/>
          <w:bCs/>
          <w:sz w:val="28"/>
          <w:szCs w:val="28"/>
          <w:lang w:val="en" w:eastAsia="en-GB"/>
        </w:rPr>
        <w:t>Time L</w:t>
      </w:r>
      <w:r w:rsidR="00064749" w:rsidRPr="00AD74C2">
        <w:rPr>
          <w:rFonts w:ascii="Arial" w:hAnsi="Arial" w:cs="Arial"/>
          <w:b/>
          <w:bCs/>
          <w:sz w:val="28"/>
          <w:szCs w:val="28"/>
          <w:lang w:val="en" w:eastAsia="en-GB"/>
        </w:rPr>
        <w:t xml:space="preserve">imits and </w:t>
      </w:r>
      <w:r>
        <w:rPr>
          <w:rFonts w:ascii="Arial" w:hAnsi="Arial" w:cs="Arial"/>
          <w:b/>
          <w:bCs/>
          <w:sz w:val="28"/>
          <w:szCs w:val="28"/>
          <w:lang w:val="en" w:eastAsia="en-GB"/>
        </w:rPr>
        <w:t>C</w:t>
      </w:r>
      <w:r w:rsidR="00064749" w:rsidRPr="00AD74C2">
        <w:rPr>
          <w:rFonts w:ascii="Arial" w:hAnsi="Arial" w:cs="Arial"/>
          <w:b/>
          <w:bCs/>
          <w:sz w:val="28"/>
          <w:szCs w:val="28"/>
          <w:lang w:val="en" w:eastAsia="en-GB"/>
        </w:rPr>
        <w:t xml:space="preserve">harging </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If disbursement costs</w:t>
      </w:r>
      <w:r w:rsidR="00390108">
        <w:rPr>
          <w:rFonts w:ascii="Arial" w:hAnsi="Arial" w:cs="Arial"/>
          <w:lang w:val="en" w:eastAsia="en-GB"/>
        </w:rPr>
        <w:t>, or professional charges</w:t>
      </w:r>
      <w:r w:rsidRPr="00AD74C2">
        <w:rPr>
          <w:rFonts w:ascii="Arial" w:hAnsi="Arial" w:cs="Arial"/>
          <w:lang w:val="en" w:eastAsia="en-GB"/>
        </w:rPr>
        <w:t xml:space="preserve"> apply for responding to an FOI request under the ‘appropriate limit’ an estimated Fees Notice will be issued. </w:t>
      </w:r>
      <w:r>
        <w:rPr>
          <w:rFonts w:ascii="Arial" w:hAnsi="Arial" w:cs="Arial"/>
          <w:lang w:val="en" w:eastAsia="en-GB"/>
        </w:rPr>
        <w:t xml:space="preserve"> </w:t>
      </w:r>
      <w:r w:rsidRPr="00AD74C2">
        <w:rPr>
          <w:rFonts w:ascii="Arial" w:hAnsi="Arial" w:cs="Arial"/>
          <w:lang w:val="en" w:eastAsia="en-GB"/>
        </w:rPr>
        <w:t xml:space="preserve">Once the Fees Notice has been issued, the clock stops and the applicant has three months to pay the charge. </w:t>
      </w:r>
      <w:r>
        <w:rPr>
          <w:rFonts w:ascii="Arial" w:hAnsi="Arial" w:cs="Arial"/>
          <w:lang w:val="en" w:eastAsia="en-GB"/>
        </w:rPr>
        <w:t xml:space="preserve"> </w:t>
      </w:r>
      <w:r w:rsidRPr="00AD74C2">
        <w:rPr>
          <w:rFonts w:ascii="Arial" w:hAnsi="Arial" w:cs="Arial"/>
          <w:lang w:val="en" w:eastAsia="en-GB"/>
        </w:rPr>
        <w:t xml:space="preserve">The request lapses after 3 months if the charge remains unpaid. </w:t>
      </w:r>
      <w:r>
        <w:rPr>
          <w:rFonts w:ascii="Arial" w:hAnsi="Arial" w:cs="Arial"/>
          <w:lang w:val="en" w:eastAsia="en-GB"/>
        </w:rPr>
        <w:t xml:space="preserve"> </w:t>
      </w:r>
      <w:r w:rsidRPr="00AD74C2">
        <w:rPr>
          <w:rFonts w:ascii="Arial" w:hAnsi="Arial" w:cs="Arial"/>
          <w:lang w:val="en" w:eastAsia="en-GB"/>
        </w:rPr>
        <w:t xml:space="preserve">Only when payment has been received and has cleared does the clock restart and work begin on collating the information. </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The Fees Notice will usually be issued, if possible, before any costs are incurred in preparing to answer the request. </w:t>
      </w:r>
      <w:r>
        <w:rPr>
          <w:rFonts w:ascii="Arial" w:hAnsi="Arial" w:cs="Arial"/>
          <w:lang w:val="en" w:eastAsia="en-GB"/>
        </w:rPr>
        <w:t xml:space="preserve"> </w:t>
      </w:r>
      <w:r w:rsidRPr="00AD74C2">
        <w:rPr>
          <w:rFonts w:ascii="Arial" w:hAnsi="Arial" w:cs="Arial"/>
          <w:lang w:val="en" w:eastAsia="en-GB"/>
        </w:rPr>
        <w:t xml:space="preserve">If a charge applies, the estimated fees and/or costs of supplying the information, will be payable in advance. </w:t>
      </w:r>
    </w:p>
    <w:p w:rsidR="0088447A" w:rsidRDefault="0088447A" w:rsidP="0088447A">
      <w:pPr>
        <w:spacing w:after="120"/>
        <w:contextualSpacing/>
        <w:jc w:val="both"/>
        <w:outlineLvl w:val="2"/>
        <w:rPr>
          <w:rFonts w:ascii="Arial" w:hAnsi="Arial" w:cs="Arial"/>
          <w:b/>
          <w:bCs/>
          <w:sz w:val="28"/>
          <w:szCs w:val="28"/>
          <w:lang w:val="en" w:eastAsia="en-GB"/>
        </w:rPr>
      </w:pPr>
    </w:p>
    <w:p w:rsidR="00064749" w:rsidRDefault="00D02BA2" w:rsidP="0088447A">
      <w:pPr>
        <w:spacing w:after="120"/>
        <w:contextualSpacing/>
        <w:jc w:val="both"/>
        <w:outlineLvl w:val="2"/>
        <w:rPr>
          <w:rFonts w:ascii="Arial" w:hAnsi="Arial" w:cs="Arial"/>
          <w:b/>
          <w:bCs/>
          <w:sz w:val="28"/>
          <w:szCs w:val="28"/>
          <w:lang w:val="en" w:eastAsia="en-GB"/>
        </w:rPr>
      </w:pPr>
      <w:r>
        <w:rPr>
          <w:rFonts w:ascii="Arial" w:hAnsi="Arial" w:cs="Arial"/>
          <w:b/>
          <w:bCs/>
          <w:sz w:val="28"/>
          <w:szCs w:val="28"/>
          <w:lang w:val="en" w:eastAsia="en-GB"/>
        </w:rPr>
        <w:t>EIR Information R</w:t>
      </w:r>
      <w:r w:rsidR="00064749" w:rsidRPr="00AD74C2">
        <w:rPr>
          <w:rFonts w:ascii="Arial" w:hAnsi="Arial" w:cs="Arial"/>
          <w:b/>
          <w:bCs/>
          <w:sz w:val="28"/>
          <w:szCs w:val="28"/>
          <w:lang w:val="en" w:eastAsia="en-GB"/>
        </w:rPr>
        <w:t xml:space="preserve">equests </w:t>
      </w:r>
    </w:p>
    <w:p w:rsidR="0088447A" w:rsidRDefault="0088447A" w:rsidP="0088447A">
      <w:pPr>
        <w:spacing w:after="120"/>
        <w:contextualSpacing/>
        <w:jc w:val="both"/>
        <w:outlineLvl w:val="2"/>
        <w:rPr>
          <w:rFonts w:ascii="Arial" w:hAnsi="Arial" w:cs="Arial"/>
          <w:b/>
          <w:bCs/>
          <w:sz w:val="28"/>
          <w:szCs w:val="28"/>
          <w:lang w:val="en" w:eastAsia="en-GB"/>
        </w:rPr>
      </w:pPr>
    </w:p>
    <w:p w:rsidR="00390108"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Environmental information will be available for examination on council premises free of charge. </w:t>
      </w:r>
      <w:r>
        <w:rPr>
          <w:rFonts w:ascii="Arial" w:hAnsi="Arial" w:cs="Arial"/>
          <w:lang w:val="en" w:eastAsia="en-GB"/>
        </w:rPr>
        <w:t xml:space="preserve"> </w:t>
      </w:r>
    </w:p>
    <w:p w:rsidR="0088447A" w:rsidRDefault="0088447A" w:rsidP="0088447A">
      <w:pPr>
        <w:spacing w:after="120"/>
        <w:contextualSpacing/>
        <w:jc w:val="both"/>
        <w:rPr>
          <w:rFonts w:ascii="Arial" w:hAnsi="Arial" w:cs="Arial"/>
          <w:lang w:val="en" w:eastAsia="en-GB"/>
        </w:rPr>
      </w:pPr>
    </w:p>
    <w:p w:rsidR="00390108" w:rsidRDefault="00390108" w:rsidP="0088447A">
      <w:pPr>
        <w:spacing w:after="120"/>
        <w:contextualSpacing/>
        <w:jc w:val="both"/>
        <w:rPr>
          <w:rFonts w:ascii="Arial" w:hAnsi="Arial" w:cs="Arial"/>
          <w:lang w:val="en" w:eastAsia="en-GB"/>
        </w:rPr>
      </w:pPr>
      <w:r>
        <w:rPr>
          <w:rFonts w:ascii="Arial" w:hAnsi="Arial" w:cs="Arial"/>
          <w:lang w:val="en" w:eastAsia="en-GB"/>
        </w:rPr>
        <w:t xml:space="preserve">Regulation 8(1) permits a public </w:t>
      </w:r>
      <w:r w:rsidR="00342CC1">
        <w:rPr>
          <w:rFonts w:ascii="Arial" w:hAnsi="Arial" w:cs="Arial"/>
          <w:lang w:val="en" w:eastAsia="en-GB"/>
        </w:rPr>
        <w:t>authority to charge for:</w:t>
      </w:r>
    </w:p>
    <w:p w:rsidR="0088447A" w:rsidRDefault="0088447A" w:rsidP="0088447A">
      <w:pPr>
        <w:spacing w:after="120"/>
        <w:contextualSpacing/>
        <w:jc w:val="both"/>
        <w:rPr>
          <w:rFonts w:ascii="Arial" w:hAnsi="Arial" w:cs="Arial"/>
          <w:lang w:val="en" w:eastAsia="en-GB"/>
        </w:rPr>
      </w:pPr>
    </w:p>
    <w:p w:rsidR="00342CC1" w:rsidRPr="0088447A" w:rsidRDefault="00342CC1" w:rsidP="0088447A">
      <w:pPr>
        <w:pStyle w:val="ListParagraph"/>
        <w:numPr>
          <w:ilvl w:val="0"/>
          <w:numId w:val="13"/>
        </w:numPr>
        <w:spacing w:after="120"/>
        <w:jc w:val="both"/>
        <w:rPr>
          <w:rFonts w:ascii="Arial" w:hAnsi="Arial" w:cs="Arial"/>
          <w:lang w:val="en" w:eastAsia="en-GB"/>
        </w:rPr>
      </w:pPr>
      <w:r w:rsidRPr="0088447A">
        <w:rPr>
          <w:rFonts w:ascii="Arial" w:hAnsi="Arial" w:cs="Arial"/>
          <w:lang w:val="en" w:eastAsia="en-GB"/>
        </w:rPr>
        <w:t>The cost of staff time spent locating, retrieving and extracting the information</w:t>
      </w:r>
    </w:p>
    <w:p w:rsidR="00342CC1" w:rsidRPr="0088447A" w:rsidRDefault="00342CC1" w:rsidP="0088447A">
      <w:pPr>
        <w:pStyle w:val="ListParagraph"/>
        <w:numPr>
          <w:ilvl w:val="0"/>
          <w:numId w:val="13"/>
        </w:numPr>
        <w:spacing w:after="120"/>
        <w:jc w:val="both"/>
        <w:rPr>
          <w:rFonts w:ascii="Arial" w:hAnsi="Arial" w:cs="Arial"/>
          <w:lang w:val="en" w:eastAsia="en-GB"/>
        </w:rPr>
      </w:pPr>
      <w:r w:rsidRPr="0088447A">
        <w:rPr>
          <w:rFonts w:ascii="Arial" w:hAnsi="Arial" w:cs="Arial"/>
          <w:lang w:val="en" w:eastAsia="en-GB"/>
        </w:rPr>
        <w:t xml:space="preserve">The cost incurred when printing or copying the requested information and sending it to the applicant.  </w:t>
      </w:r>
    </w:p>
    <w:p w:rsidR="0088447A" w:rsidRDefault="0088447A" w:rsidP="0088447A">
      <w:pPr>
        <w:spacing w:after="120"/>
        <w:contextualSpacing/>
        <w:jc w:val="both"/>
        <w:rPr>
          <w:rFonts w:ascii="Arial" w:hAnsi="Arial" w:cs="Arial"/>
          <w:lang w:val="en" w:eastAsia="en-GB"/>
        </w:rPr>
      </w:pPr>
    </w:p>
    <w:p w:rsidR="00342CC1" w:rsidRDefault="00342CC1" w:rsidP="0088447A">
      <w:pPr>
        <w:spacing w:after="120"/>
        <w:contextualSpacing/>
        <w:jc w:val="both"/>
        <w:rPr>
          <w:rFonts w:ascii="Arial" w:hAnsi="Arial" w:cs="Arial"/>
          <w:lang w:val="en" w:eastAsia="en-GB"/>
        </w:rPr>
      </w:pPr>
      <w:r>
        <w:rPr>
          <w:rFonts w:ascii="Arial" w:hAnsi="Arial" w:cs="Arial"/>
          <w:lang w:val="en" w:eastAsia="en-GB"/>
        </w:rPr>
        <w:t xml:space="preserve">It does not permit staff time taken to maintain databases, overhead costs and time spent redacting excepted information. </w:t>
      </w: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lastRenderedPageBreak/>
        <w:t>If the applicant requests copies of the information, photocopying and disbursement costs will apply.</w:t>
      </w:r>
    </w:p>
    <w:p w:rsidR="0088447A" w:rsidRDefault="0088447A" w:rsidP="0088447A">
      <w:pPr>
        <w:spacing w:after="120"/>
        <w:contextualSpacing/>
        <w:jc w:val="both"/>
        <w:rPr>
          <w:rFonts w:ascii="Arial" w:hAnsi="Arial" w:cs="Arial"/>
          <w:lang w:val="en" w:eastAsia="en-GB"/>
        </w:rPr>
      </w:pPr>
    </w:p>
    <w:p w:rsidR="00342CC1" w:rsidRPr="00AD74C2" w:rsidRDefault="00342CC1" w:rsidP="0088447A">
      <w:pPr>
        <w:spacing w:after="120"/>
        <w:contextualSpacing/>
        <w:jc w:val="both"/>
        <w:rPr>
          <w:rFonts w:ascii="Arial" w:hAnsi="Arial" w:cs="Arial"/>
          <w:lang w:val="en" w:eastAsia="en-GB"/>
        </w:rPr>
      </w:pPr>
      <w:r>
        <w:rPr>
          <w:rFonts w:ascii="Arial" w:hAnsi="Arial" w:cs="Arial"/>
          <w:lang w:val="en" w:eastAsia="en-GB"/>
        </w:rPr>
        <w:t xml:space="preserve">Council will define ‘reasonable costs’ as those stated under </w:t>
      </w:r>
      <w:r w:rsidRPr="00AD74C2">
        <w:rPr>
          <w:rFonts w:ascii="Arial" w:hAnsi="Arial" w:cs="Arial"/>
          <w:lang w:val="en" w:eastAsia="en-GB"/>
        </w:rPr>
        <w:t>Regulation 4 of the Freedom of Information and Data Protection (Appropriate Limit and Fees) Regulations 2004, the “appropriate limit” is set at £450 for Local Authorities.</w:t>
      </w:r>
    </w:p>
    <w:p w:rsidR="0088447A" w:rsidRDefault="0088447A" w:rsidP="0088447A">
      <w:pPr>
        <w:spacing w:after="120"/>
        <w:contextualSpacing/>
        <w:jc w:val="both"/>
        <w:rPr>
          <w:rFonts w:ascii="Arial" w:hAnsi="Arial" w:cs="Arial"/>
          <w:lang w:val="en" w:eastAsia="en-GB"/>
        </w:rPr>
      </w:pPr>
    </w:p>
    <w:p w:rsidR="00342CC1" w:rsidRDefault="00342CC1" w:rsidP="0088447A">
      <w:pPr>
        <w:spacing w:after="120"/>
        <w:contextualSpacing/>
        <w:jc w:val="both"/>
        <w:rPr>
          <w:rFonts w:ascii="Arial" w:hAnsi="Arial" w:cs="Arial"/>
          <w:lang w:val="en" w:eastAsia="en-GB"/>
        </w:rPr>
      </w:pPr>
      <w:r w:rsidRPr="00AD74C2">
        <w:rPr>
          <w:rFonts w:ascii="Arial" w:hAnsi="Arial" w:cs="Arial"/>
          <w:lang w:val="en" w:eastAsia="en-GB"/>
        </w:rPr>
        <w:t>This is calculated on a standard rate of £25 per hour</w:t>
      </w:r>
      <w:r>
        <w:rPr>
          <w:rFonts w:ascii="Arial" w:hAnsi="Arial" w:cs="Arial"/>
          <w:lang w:val="en" w:eastAsia="en-GB"/>
        </w:rPr>
        <w:t xml:space="preserve">.  </w:t>
      </w:r>
    </w:p>
    <w:p w:rsidR="0088447A" w:rsidRDefault="0088447A" w:rsidP="0088447A">
      <w:pPr>
        <w:spacing w:after="120"/>
        <w:contextualSpacing/>
        <w:jc w:val="both"/>
        <w:outlineLvl w:val="2"/>
        <w:rPr>
          <w:rFonts w:ascii="Arial" w:hAnsi="Arial" w:cs="Arial"/>
          <w:b/>
          <w:bCs/>
          <w:sz w:val="28"/>
          <w:szCs w:val="28"/>
          <w:lang w:val="en" w:eastAsia="en-GB"/>
        </w:rPr>
      </w:pPr>
    </w:p>
    <w:p w:rsidR="00064749" w:rsidRDefault="00D02BA2" w:rsidP="0088447A">
      <w:pPr>
        <w:spacing w:after="120"/>
        <w:contextualSpacing/>
        <w:jc w:val="both"/>
        <w:outlineLvl w:val="2"/>
        <w:rPr>
          <w:rFonts w:ascii="Arial" w:hAnsi="Arial" w:cs="Arial"/>
          <w:b/>
          <w:bCs/>
          <w:sz w:val="28"/>
          <w:szCs w:val="28"/>
          <w:lang w:val="en" w:eastAsia="en-GB"/>
        </w:rPr>
      </w:pPr>
      <w:r>
        <w:rPr>
          <w:rFonts w:ascii="Arial" w:hAnsi="Arial" w:cs="Arial"/>
          <w:b/>
          <w:bCs/>
          <w:sz w:val="28"/>
          <w:szCs w:val="28"/>
          <w:lang w:val="en" w:eastAsia="en-GB"/>
        </w:rPr>
        <w:t>Aggregating R</w:t>
      </w:r>
      <w:r w:rsidR="00064749" w:rsidRPr="00AD74C2">
        <w:rPr>
          <w:rFonts w:ascii="Arial" w:hAnsi="Arial" w:cs="Arial"/>
          <w:b/>
          <w:bCs/>
          <w:sz w:val="28"/>
          <w:szCs w:val="28"/>
          <w:lang w:val="en" w:eastAsia="en-GB"/>
        </w:rPr>
        <w:t xml:space="preserve">equests </w:t>
      </w:r>
    </w:p>
    <w:p w:rsidR="0088447A" w:rsidRDefault="0088447A" w:rsidP="0088447A">
      <w:pPr>
        <w:spacing w:after="120"/>
        <w:contextualSpacing/>
        <w:jc w:val="both"/>
        <w:outlineLvl w:val="2"/>
        <w:rPr>
          <w:rFonts w:ascii="Arial" w:hAnsi="Arial" w:cs="Arial"/>
          <w:b/>
          <w:bCs/>
          <w:sz w:val="28"/>
          <w:szCs w:val="28"/>
          <w:lang w:val="en" w:eastAsia="en-GB"/>
        </w:rPr>
      </w:pPr>
    </w:p>
    <w:p w:rsidR="00D02BA2"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The FOIA Fees Regulations provide for the costs of answering more than one request to be added together or aggregated for the purposes of estimating whether the ‘appropriate limit’ would be exceeded in relation to any one of the requests. </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Requests can only be aggregated in the following circumstances: </w:t>
      </w:r>
    </w:p>
    <w:p w:rsidR="0088447A" w:rsidRPr="00AD74C2" w:rsidRDefault="0088447A" w:rsidP="0088447A">
      <w:pPr>
        <w:spacing w:after="120"/>
        <w:contextualSpacing/>
        <w:jc w:val="both"/>
        <w:rPr>
          <w:rFonts w:ascii="Arial" w:hAnsi="Arial" w:cs="Arial"/>
          <w:lang w:val="en" w:eastAsia="en-GB"/>
        </w:rPr>
      </w:pPr>
    </w:p>
    <w:p w:rsidR="00064749" w:rsidRPr="00AD74C2" w:rsidRDefault="00064749" w:rsidP="0088447A">
      <w:pPr>
        <w:numPr>
          <w:ilvl w:val="0"/>
          <w:numId w:val="7"/>
        </w:numPr>
        <w:spacing w:after="120"/>
        <w:contextualSpacing/>
        <w:jc w:val="both"/>
        <w:rPr>
          <w:rFonts w:ascii="Arial" w:hAnsi="Arial" w:cs="Arial"/>
          <w:lang w:val="en" w:eastAsia="en-GB"/>
        </w:rPr>
      </w:pPr>
      <w:r w:rsidRPr="00AD74C2">
        <w:rPr>
          <w:rFonts w:ascii="Arial" w:hAnsi="Arial" w:cs="Arial"/>
          <w:lang w:val="en" w:eastAsia="en-GB"/>
        </w:rPr>
        <w:t xml:space="preserve">two or more requests for information must have been made to the same public authority; </w:t>
      </w:r>
    </w:p>
    <w:p w:rsidR="00064749" w:rsidRPr="00AD74C2" w:rsidRDefault="00064749" w:rsidP="0088447A">
      <w:pPr>
        <w:numPr>
          <w:ilvl w:val="0"/>
          <w:numId w:val="7"/>
        </w:numPr>
        <w:spacing w:after="120"/>
        <w:contextualSpacing/>
        <w:jc w:val="both"/>
        <w:rPr>
          <w:rFonts w:ascii="Arial" w:hAnsi="Arial" w:cs="Arial"/>
          <w:lang w:val="en" w:eastAsia="en-GB"/>
        </w:rPr>
      </w:pPr>
      <w:r w:rsidRPr="00AD74C2">
        <w:rPr>
          <w:rFonts w:ascii="Arial" w:hAnsi="Arial" w:cs="Arial"/>
          <w:lang w:val="en" w:eastAsia="en-GB"/>
        </w:rPr>
        <w:t xml:space="preserve">they must be either from the same person, or from different persons who appear to the authority to be acting together or in pursuance of a campaign (section 12(4)(b) of FOIA); </w:t>
      </w:r>
    </w:p>
    <w:p w:rsidR="00064749" w:rsidRPr="00AD74C2" w:rsidRDefault="00064749" w:rsidP="0088447A">
      <w:pPr>
        <w:numPr>
          <w:ilvl w:val="0"/>
          <w:numId w:val="7"/>
        </w:numPr>
        <w:spacing w:after="120"/>
        <w:contextualSpacing/>
        <w:jc w:val="both"/>
        <w:rPr>
          <w:rFonts w:ascii="Arial" w:hAnsi="Arial" w:cs="Arial"/>
          <w:lang w:val="en" w:eastAsia="en-GB"/>
        </w:rPr>
      </w:pPr>
      <w:r w:rsidRPr="00AD74C2">
        <w:rPr>
          <w:rFonts w:ascii="Arial" w:hAnsi="Arial" w:cs="Arial"/>
          <w:lang w:val="en" w:eastAsia="en-GB"/>
        </w:rPr>
        <w:t xml:space="preserve">the requests must relate to the same or similar information; and </w:t>
      </w:r>
    </w:p>
    <w:p w:rsidR="00064749" w:rsidRDefault="00064749" w:rsidP="0088447A">
      <w:pPr>
        <w:numPr>
          <w:ilvl w:val="0"/>
          <w:numId w:val="7"/>
        </w:numPr>
        <w:spacing w:after="120"/>
        <w:contextualSpacing/>
        <w:jc w:val="both"/>
        <w:rPr>
          <w:rFonts w:ascii="Arial" w:hAnsi="Arial" w:cs="Arial"/>
          <w:lang w:val="en" w:eastAsia="en-GB"/>
        </w:rPr>
      </w:pPr>
      <w:r w:rsidRPr="00AD74C2">
        <w:rPr>
          <w:rFonts w:ascii="Arial" w:hAnsi="Arial" w:cs="Arial"/>
          <w:lang w:val="en" w:eastAsia="en-GB"/>
        </w:rPr>
        <w:t xml:space="preserve">they must have been received within a space of 60 consecutive working days. </w:t>
      </w:r>
      <w:r w:rsidR="00D02BA2">
        <w:rPr>
          <w:rFonts w:ascii="Arial" w:hAnsi="Arial" w:cs="Arial"/>
          <w:lang w:val="en" w:eastAsia="en-GB"/>
        </w:rPr>
        <w:t>(</w:t>
      </w:r>
      <w:r w:rsidRPr="00AD74C2">
        <w:rPr>
          <w:rFonts w:ascii="Arial" w:hAnsi="Arial" w:cs="Arial"/>
          <w:lang w:val="en" w:eastAsia="en-GB"/>
        </w:rPr>
        <w:t xml:space="preserve">This provision is designed to prevent individuals or organisations undermining the ‘appropriate limit’ by splitting a request into smaller parts. </w:t>
      </w:r>
      <w:r>
        <w:rPr>
          <w:rFonts w:ascii="Arial" w:hAnsi="Arial" w:cs="Arial"/>
          <w:lang w:val="en" w:eastAsia="en-GB"/>
        </w:rPr>
        <w:t xml:space="preserve"> </w:t>
      </w:r>
      <w:r w:rsidRPr="00AD74C2">
        <w:rPr>
          <w:rFonts w:ascii="Arial" w:hAnsi="Arial" w:cs="Arial"/>
          <w:lang w:val="en" w:eastAsia="en-GB"/>
        </w:rPr>
        <w:t>Before applying these provisions, the Council will carefully consider the reasons for believing that requests have been framed to frustrate the cost limit.</w:t>
      </w:r>
      <w:r w:rsidR="00D02BA2">
        <w:rPr>
          <w:rFonts w:ascii="Arial" w:hAnsi="Arial" w:cs="Arial"/>
          <w:lang w:val="en" w:eastAsia="en-GB"/>
        </w:rPr>
        <w:t>)</w:t>
      </w:r>
      <w:r w:rsidRPr="00AD74C2">
        <w:rPr>
          <w:rFonts w:ascii="Arial" w:hAnsi="Arial" w:cs="Arial"/>
          <w:lang w:val="en" w:eastAsia="en-GB"/>
        </w:rPr>
        <w:t xml:space="preserve"> </w:t>
      </w:r>
    </w:p>
    <w:p w:rsidR="0088447A" w:rsidRDefault="0088447A" w:rsidP="0088447A">
      <w:pPr>
        <w:spacing w:after="120"/>
        <w:ind w:left="720"/>
        <w:contextualSpacing/>
        <w:jc w:val="both"/>
        <w:rPr>
          <w:rFonts w:ascii="Arial" w:hAnsi="Arial" w:cs="Arial"/>
          <w:lang w:val="en" w:eastAsia="en-GB"/>
        </w:rPr>
      </w:pPr>
    </w:p>
    <w:p w:rsidR="00064749" w:rsidRDefault="00D02BA2" w:rsidP="0088447A">
      <w:pPr>
        <w:spacing w:after="120"/>
        <w:contextualSpacing/>
        <w:jc w:val="both"/>
        <w:outlineLvl w:val="2"/>
        <w:rPr>
          <w:rFonts w:ascii="Arial" w:hAnsi="Arial" w:cs="Arial"/>
          <w:b/>
          <w:bCs/>
          <w:sz w:val="28"/>
          <w:szCs w:val="28"/>
          <w:lang w:val="en" w:eastAsia="en-GB"/>
        </w:rPr>
      </w:pPr>
      <w:r>
        <w:rPr>
          <w:rFonts w:ascii="Arial" w:hAnsi="Arial" w:cs="Arial"/>
          <w:b/>
          <w:bCs/>
          <w:sz w:val="28"/>
          <w:szCs w:val="28"/>
          <w:lang w:val="en" w:eastAsia="en-GB"/>
        </w:rPr>
        <w:t>Repetitious/Vexatious R</w:t>
      </w:r>
      <w:r w:rsidR="00064749" w:rsidRPr="00AD74C2">
        <w:rPr>
          <w:rFonts w:ascii="Arial" w:hAnsi="Arial" w:cs="Arial"/>
          <w:b/>
          <w:bCs/>
          <w:sz w:val="28"/>
          <w:szCs w:val="28"/>
          <w:lang w:val="en" w:eastAsia="en-GB"/>
        </w:rPr>
        <w:t>equests</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In considering whether to refuse to answer multiple questions altogether on the grounds that they are repetitious or vexatious requests, the Council will take account of </w:t>
      </w:r>
      <w:r>
        <w:rPr>
          <w:rFonts w:ascii="Arial" w:hAnsi="Arial" w:cs="Arial"/>
          <w:lang w:val="en" w:eastAsia="en-GB"/>
        </w:rPr>
        <w:t xml:space="preserve">guidance issued by the Information Commissioners Office.  </w:t>
      </w:r>
      <w:r w:rsidRPr="00AD74C2">
        <w:rPr>
          <w:rFonts w:ascii="Arial" w:hAnsi="Arial" w:cs="Arial"/>
          <w:lang w:val="en" w:eastAsia="en-GB"/>
        </w:rPr>
        <w:t xml:space="preserve"> </w:t>
      </w:r>
    </w:p>
    <w:p w:rsidR="0088447A" w:rsidRDefault="0088447A" w:rsidP="0088447A">
      <w:pPr>
        <w:pStyle w:val="NormalWeb"/>
        <w:spacing w:before="0" w:beforeAutospacing="0" w:after="120" w:afterAutospacing="0"/>
        <w:contextualSpacing/>
        <w:rPr>
          <w:rFonts w:eastAsia="Times New Roman"/>
          <w:b/>
          <w:bCs/>
          <w:sz w:val="28"/>
          <w:szCs w:val="28"/>
          <w:lang w:val="en" w:eastAsia="en-GB"/>
        </w:rPr>
      </w:pPr>
    </w:p>
    <w:p w:rsidR="004A64A0" w:rsidRPr="00AD74C2" w:rsidRDefault="00D02BA2" w:rsidP="0088447A">
      <w:pPr>
        <w:pStyle w:val="NormalWeb"/>
        <w:spacing w:before="0" w:beforeAutospacing="0" w:after="120" w:afterAutospacing="0"/>
        <w:contextualSpacing/>
        <w:rPr>
          <w:rFonts w:eastAsia="Times New Roman"/>
          <w:b/>
          <w:bCs/>
          <w:sz w:val="28"/>
          <w:szCs w:val="28"/>
          <w:lang w:val="en" w:eastAsia="en-GB"/>
        </w:rPr>
      </w:pPr>
      <w:r>
        <w:rPr>
          <w:rFonts w:eastAsia="Times New Roman"/>
          <w:b/>
          <w:bCs/>
          <w:sz w:val="28"/>
          <w:szCs w:val="28"/>
          <w:lang w:val="en" w:eastAsia="en-GB"/>
        </w:rPr>
        <w:t>Other C</w:t>
      </w:r>
      <w:r w:rsidR="004A64A0" w:rsidRPr="00AD74C2">
        <w:rPr>
          <w:rFonts w:eastAsia="Times New Roman"/>
          <w:b/>
          <w:bCs/>
          <w:sz w:val="28"/>
          <w:szCs w:val="28"/>
          <w:lang w:val="en" w:eastAsia="en-GB"/>
        </w:rPr>
        <w:t xml:space="preserve">osts </w:t>
      </w:r>
    </w:p>
    <w:p w:rsidR="004A64A0" w:rsidRDefault="004A64A0" w:rsidP="0088447A">
      <w:pPr>
        <w:spacing w:after="120"/>
        <w:contextualSpacing/>
        <w:jc w:val="both"/>
        <w:rPr>
          <w:rFonts w:ascii="Arial" w:hAnsi="Arial" w:cs="Arial"/>
          <w:lang w:val="en" w:eastAsia="en-GB"/>
        </w:rPr>
      </w:pPr>
      <w:r w:rsidRPr="00AD74C2">
        <w:rPr>
          <w:rFonts w:ascii="Arial" w:hAnsi="Arial" w:cs="Arial"/>
          <w:lang w:val="en" w:eastAsia="en-GB"/>
        </w:rPr>
        <w:t xml:space="preserve">The council is committed to the use of electronic means to provide </w:t>
      </w:r>
      <w:r>
        <w:rPr>
          <w:rFonts w:ascii="Arial" w:hAnsi="Arial" w:cs="Arial"/>
          <w:lang w:val="en" w:eastAsia="en-GB"/>
        </w:rPr>
        <w:t xml:space="preserve">requested </w:t>
      </w:r>
      <w:r w:rsidRPr="00AD74C2">
        <w:rPr>
          <w:rFonts w:ascii="Arial" w:hAnsi="Arial" w:cs="Arial"/>
          <w:lang w:val="en" w:eastAsia="en-GB"/>
        </w:rPr>
        <w:t>information</w:t>
      </w:r>
      <w:r>
        <w:rPr>
          <w:rFonts w:ascii="Arial" w:hAnsi="Arial" w:cs="Arial"/>
          <w:lang w:val="en" w:eastAsia="en-GB"/>
        </w:rPr>
        <w:t xml:space="preserve">, </w:t>
      </w:r>
      <w:r w:rsidRPr="00AD74C2">
        <w:rPr>
          <w:rFonts w:ascii="Arial" w:hAnsi="Arial" w:cs="Arial"/>
          <w:lang w:val="en" w:eastAsia="en-GB"/>
        </w:rPr>
        <w:t xml:space="preserve">and will encourage and advocate the use of these means in all appropriate cases, subject always to the stated preference of the applicant. </w:t>
      </w:r>
      <w:r>
        <w:rPr>
          <w:rFonts w:ascii="Arial" w:hAnsi="Arial" w:cs="Arial"/>
          <w:lang w:val="en" w:eastAsia="en-GB"/>
        </w:rPr>
        <w:t xml:space="preserve"> </w:t>
      </w:r>
      <w:r w:rsidRPr="00AD74C2">
        <w:rPr>
          <w:rFonts w:ascii="Arial" w:hAnsi="Arial" w:cs="Arial"/>
          <w:lang w:val="en" w:eastAsia="en-GB"/>
        </w:rPr>
        <w:t xml:space="preserve">Normally information supplied electronically will not involve a cost unless hard copy information has been specifically converted for this purpose. </w:t>
      </w:r>
    </w:p>
    <w:p w:rsidR="0088447A" w:rsidRDefault="0088447A" w:rsidP="0088447A">
      <w:pPr>
        <w:spacing w:after="120"/>
        <w:contextualSpacing/>
        <w:jc w:val="both"/>
        <w:rPr>
          <w:rFonts w:ascii="Arial" w:hAnsi="Arial" w:cs="Arial"/>
          <w:lang w:val="en" w:eastAsia="en-GB"/>
        </w:rPr>
      </w:pPr>
    </w:p>
    <w:p w:rsidR="004A64A0" w:rsidRDefault="004A64A0" w:rsidP="0088447A">
      <w:pPr>
        <w:spacing w:after="120"/>
        <w:contextualSpacing/>
        <w:jc w:val="both"/>
        <w:rPr>
          <w:rFonts w:ascii="Arial" w:hAnsi="Arial" w:cs="Arial"/>
          <w:lang w:val="en" w:eastAsia="en-GB"/>
        </w:rPr>
      </w:pPr>
      <w:r w:rsidRPr="00AD74C2">
        <w:rPr>
          <w:rFonts w:ascii="Arial" w:hAnsi="Arial" w:cs="Arial"/>
          <w:lang w:val="en" w:eastAsia="en-GB"/>
        </w:rPr>
        <w:t>Other or additional costs (</w:t>
      </w:r>
      <w:r w:rsidR="00D02BA2">
        <w:rPr>
          <w:rFonts w:ascii="Arial" w:hAnsi="Arial" w:cs="Arial"/>
          <w:lang w:val="en" w:eastAsia="en-GB"/>
        </w:rPr>
        <w:t>such as</w:t>
      </w:r>
      <w:r w:rsidRPr="00AD74C2">
        <w:rPr>
          <w:rFonts w:ascii="Arial" w:hAnsi="Arial" w:cs="Arial"/>
          <w:lang w:val="en" w:eastAsia="en-GB"/>
        </w:rPr>
        <w:t xml:space="preserve"> postage and printing charges</w:t>
      </w:r>
      <w:r>
        <w:rPr>
          <w:rFonts w:ascii="Arial" w:hAnsi="Arial" w:cs="Arial"/>
          <w:lang w:val="en" w:eastAsia="en-GB"/>
        </w:rPr>
        <w:t>, see below</w:t>
      </w:r>
      <w:r w:rsidRPr="00AD74C2">
        <w:rPr>
          <w:rFonts w:ascii="Arial" w:hAnsi="Arial" w:cs="Arial"/>
          <w:lang w:val="en" w:eastAsia="en-GB"/>
        </w:rPr>
        <w:t xml:space="preserve">) incurred as a result of communicating information in a way requested by the applicant where the overall amount exceeds £1.00, may be payable. </w:t>
      </w:r>
      <w:r>
        <w:rPr>
          <w:rFonts w:ascii="Arial" w:hAnsi="Arial" w:cs="Arial"/>
          <w:lang w:val="en" w:eastAsia="en-GB"/>
        </w:rPr>
        <w:t xml:space="preserve"> </w:t>
      </w:r>
      <w:r w:rsidRPr="00AD74C2">
        <w:rPr>
          <w:rFonts w:ascii="Arial" w:hAnsi="Arial" w:cs="Arial"/>
          <w:lang w:val="en" w:eastAsia="en-GB"/>
        </w:rPr>
        <w:t xml:space="preserve">This includes but is not limited to requests to supply information on CD ROM; floppy disc; </w:t>
      </w:r>
      <w:r w:rsidR="00D02BA2">
        <w:rPr>
          <w:rFonts w:ascii="Arial" w:hAnsi="Arial" w:cs="Arial"/>
          <w:lang w:val="en" w:eastAsia="en-GB"/>
        </w:rPr>
        <w:t xml:space="preserve">flash drive, any </w:t>
      </w:r>
      <w:r w:rsidRPr="00AD74C2">
        <w:rPr>
          <w:rFonts w:ascii="Arial" w:hAnsi="Arial" w:cs="Arial"/>
          <w:lang w:val="en" w:eastAsia="en-GB"/>
        </w:rPr>
        <w:t xml:space="preserve">another medium, or in a language other than English. </w:t>
      </w:r>
    </w:p>
    <w:p w:rsidR="0088447A" w:rsidRPr="00AD74C2" w:rsidRDefault="0088447A" w:rsidP="0088447A">
      <w:pPr>
        <w:spacing w:after="120"/>
        <w:contextualSpacing/>
        <w:jc w:val="both"/>
        <w:rPr>
          <w:rFonts w:ascii="Arial" w:hAnsi="Arial" w:cs="Arial"/>
          <w:lang w:val="en" w:eastAsia="en-GB"/>
        </w:rPr>
      </w:pPr>
    </w:p>
    <w:p w:rsidR="00064749" w:rsidRDefault="00D02BA2" w:rsidP="0088447A">
      <w:pPr>
        <w:spacing w:after="120"/>
        <w:contextualSpacing/>
        <w:jc w:val="both"/>
        <w:outlineLvl w:val="2"/>
        <w:rPr>
          <w:rFonts w:ascii="Arial" w:hAnsi="Arial" w:cs="Arial"/>
          <w:b/>
          <w:bCs/>
          <w:sz w:val="28"/>
          <w:szCs w:val="28"/>
          <w:lang w:val="en" w:eastAsia="en-GB"/>
        </w:rPr>
      </w:pPr>
      <w:r>
        <w:rPr>
          <w:rFonts w:ascii="Arial" w:hAnsi="Arial" w:cs="Arial"/>
          <w:b/>
          <w:bCs/>
          <w:sz w:val="28"/>
          <w:szCs w:val="28"/>
          <w:lang w:val="en" w:eastAsia="en-GB"/>
        </w:rPr>
        <w:lastRenderedPageBreak/>
        <w:t>Communicating Information – Disbursement C</w:t>
      </w:r>
      <w:r w:rsidR="00064749" w:rsidRPr="00AD74C2">
        <w:rPr>
          <w:rFonts w:ascii="Arial" w:hAnsi="Arial" w:cs="Arial"/>
          <w:b/>
          <w:bCs/>
          <w:sz w:val="28"/>
          <w:szCs w:val="28"/>
          <w:lang w:val="en" w:eastAsia="en-GB"/>
        </w:rPr>
        <w:t xml:space="preserve">osts </w:t>
      </w:r>
    </w:p>
    <w:p w:rsidR="0088447A" w:rsidRDefault="0088447A" w:rsidP="0088447A">
      <w:pPr>
        <w:spacing w:after="120"/>
        <w:contextualSpacing/>
        <w:jc w:val="both"/>
        <w:outlineLvl w:val="2"/>
        <w:rPr>
          <w:rFonts w:ascii="Arial" w:hAnsi="Arial" w:cs="Arial"/>
          <w:b/>
          <w:bCs/>
          <w:sz w:val="28"/>
          <w:szCs w:val="28"/>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Irrespective of whether the request is below or above the ‘appropriate limit’, disbursements will normally be charged where the estimated photocopying cost exceeds the cost of five A4 black &amp; white photocopies, or one A4 colour photocopy. </w:t>
      </w:r>
      <w:r w:rsidR="004A64A0">
        <w:rPr>
          <w:rFonts w:ascii="Arial" w:hAnsi="Arial" w:cs="Arial"/>
          <w:lang w:val="en" w:eastAsia="en-GB"/>
        </w:rPr>
        <w:t xml:space="preserve"> </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Under Section 11(1) of the FOIA, authorities have a duty to take account of the applicants’ preferred format for receiving information. </w:t>
      </w:r>
      <w:r w:rsidR="004A64A0">
        <w:rPr>
          <w:rFonts w:ascii="Arial" w:hAnsi="Arial" w:cs="Arial"/>
          <w:lang w:val="en" w:eastAsia="en-GB"/>
        </w:rPr>
        <w:t xml:space="preserve"> </w:t>
      </w:r>
      <w:r w:rsidRPr="00AD74C2">
        <w:rPr>
          <w:rFonts w:ascii="Arial" w:hAnsi="Arial" w:cs="Arial"/>
          <w:lang w:val="en" w:eastAsia="en-GB"/>
        </w:rPr>
        <w:t>This may include:</w:t>
      </w:r>
    </w:p>
    <w:p w:rsidR="0088447A" w:rsidRDefault="0088447A" w:rsidP="0088447A">
      <w:pPr>
        <w:spacing w:after="120"/>
        <w:contextualSpacing/>
        <w:jc w:val="both"/>
        <w:rPr>
          <w:rFonts w:ascii="Arial" w:hAnsi="Arial" w:cs="Arial"/>
          <w:lang w:val="en" w:eastAsia="en-GB"/>
        </w:rPr>
      </w:pPr>
    </w:p>
    <w:p w:rsidR="00064749" w:rsidRPr="00AD74C2" w:rsidRDefault="00064749" w:rsidP="0088447A">
      <w:pPr>
        <w:numPr>
          <w:ilvl w:val="0"/>
          <w:numId w:val="8"/>
        </w:numPr>
        <w:spacing w:after="120"/>
        <w:contextualSpacing/>
        <w:jc w:val="both"/>
        <w:rPr>
          <w:rFonts w:ascii="Arial" w:hAnsi="Arial" w:cs="Arial"/>
          <w:lang w:val="en" w:eastAsia="en-GB"/>
        </w:rPr>
      </w:pPr>
      <w:r w:rsidRPr="00AD74C2">
        <w:rPr>
          <w:rFonts w:ascii="Arial" w:hAnsi="Arial" w:cs="Arial"/>
          <w:lang w:val="en" w:eastAsia="en-GB"/>
        </w:rPr>
        <w:t xml:space="preserve">summarising the information and providing the applicant with a copy (i.e. photocopying or printing) </w:t>
      </w:r>
    </w:p>
    <w:p w:rsidR="00064749" w:rsidRPr="00AD74C2" w:rsidRDefault="00064749" w:rsidP="0088447A">
      <w:pPr>
        <w:numPr>
          <w:ilvl w:val="0"/>
          <w:numId w:val="8"/>
        </w:numPr>
        <w:spacing w:after="120"/>
        <w:contextualSpacing/>
        <w:jc w:val="both"/>
        <w:rPr>
          <w:rFonts w:ascii="Arial" w:hAnsi="Arial" w:cs="Arial"/>
          <w:lang w:val="en" w:eastAsia="en-GB"/>
        </w:rPr>
      </w:pPr>
      <w:r w:rsidRPr="00AD74C2">
        <w:rPr>
          <w:rFonts w:ascii="Arial" w:hAnsi="Arial" w:cs="Arial"/>
          <w:lang w:val="en" w:eastAsia="en-GB"/>
        </w:rPr>
        <w:t>allowing the applicant to inspect a record containing the information</w:t>
      </w:r>
    </w:p>
    <w:p w:rsidR="00064749" w:rsidRPr="00AD74C2" w:rsidRDefault="00064749" w:rsidP="0088447A">
      <w:pPr>
        <w:numPr>
          <w:ilvl w:val="0"/>
          <w:numId w:val="8"/>
        </w:numPr>
        <w:spacing w:after="120"/>
        <w:contextualSpacing/>
        <w:jc w:val="both"/>
        <w:rPr>
          <w:rFonts w:ascii="Arial" w:hAnsi="Arial" w:cs="Arial"/>
          <w:lang w:val="en" w:eastAsia="en-GB"/>
        </w:rPr>
      </w:pPr>
      <w:r w:rsidRPr="00AD74C2">
        <w:rPr>
          <w:rFonts w:ascii="Arial" w:hAnsi="Arial" w:cs="Arial"/>
          <w:lang w:val="en" w:eastAsia="en-GB"/>
        </w:rPr>
        <w:t xml:space="preserve">producing material in an applicant’s preferred format (for example by putting it onto a CD-ROM, video or audio cassette) or </w:t>
      </w:r>
    </w:p>
    <w:p w:rsidR="0088447A" w:rsidRDefault="00064749" w:rsidP="0088447A">
      <w:pPr>
        <w:numPr>
          <w:ilvl w:val="0"/>
          <w:numId w:val="8"/>
        </w:numPr>
        <w:spacing w:after="120"/>
        <w:contextualSpacing/>
        <w:jc w:val="both"/>
        <w:rPr>
          <w:rFonts w:ascii="Arial" w:hAnsi="Arial" w:cs="Arial"/>
          <w:lang w:val="en" w:eastAsia="en-GB"/>
        </w:rPr>
      </w:pPr>
      <w:r w:rsidRPr="00AD74C2">
        <w:rPr>
          <w:rFonts w:ascii="Arial" w:hAnsi="Arial" w:cs="Arial"/>
          <w:lang w:val="en" w:eastAsia="en-GB"/>
        </w:rPr>
        <w:t>translating information into a language other than English, or preparing information in another format (e.g. Braille, large type) at the request of the applicant</w:t>
      </w:r>
      <w:r w:rsidR="0088447A">
        <w:rPr>
          <w:rFonts w:ascii="Arial" w:hAnsi="Arial" w:cs="Arial"/>
          <w:lang w:val="en" w:eastAsia="en-GB"/>
        </w:rPr>
        <w:t>.</w:t>
      </w:r>
    </w:p>
    <w:p w:rsidR="00064749" w:rsidRPr="00AD74C2" w:rsidRDefault="00064749" w:rsidP="0088447A">
      <w:pPr>
        <w:spacing w:after="120"/>
        <w:ind w:left="7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Charges will not be applied by the Council for costs incurred arising from meeting our obligations under disability or other equality legislation. </w:t>
      </w:r>
    </w:p>
    <w:p w:rsidR="0088447A" w:rsidRDefault="0088447A" w:rsidP="0088447A">
      <w:pPr>
        <w:spacing w:after="120"/>
        <w:contextualSpacing/>
        <w:jc w:val="both"/>
        <w:outlineLvl w:val="2"/>
        <w:rPr>
          <w:rFonts w:ascii="Arial" w:hAnsi="Arial" w:cs="Arial"/>
          <w:b/>
          <w:bCs/>
          <w:sz w:val="28"/>
          <w:szCs w:val="28"/>
          <w:lang w:val="en" w:eastAsia="en-GB"/>
        </w:rPr>
      </w:pPr>
    </w:p>
    <w:p w:rsidR="00064749" w:rsidRDefault="00D02BA2" w:rsidP="0088447A">
      <w:pPr>
        <w:spacing w:after="120"/>
        <w:contextualSpacing/>
        <w:jc w:val="both"/>
        <w:outlineLvl w:val="2"/>
        <w:rPr>
          <w:rFonts w:ascii="Arial" w:hAnsi="Arial" w:cs="Arial"/>
          <w:b/>
          <w:bCs/>
          <w:sz w:val="28"/>
          <w:szCs w:val="28"/>
          <w:lang w:val="en" w:eastAsia="en-GB"/>
        </w:rPr>
      </w:pPr>
      <w:r>
        <w:rPr>
          <w:rFonts w:ascii="Arial" w:hAnsi="Arial" w:cs="Arial"/>
          <w:b/>
          <w:bCs/>
          <w:sz w:val="28"/>
          <w:szCs w:val="28"/>
          <w:lang w:val="en" w:eastAsia="en-GB"/>
        </w:rPr>
        <w:t>Postage and Printing C</w:t>
      </w:r>
      <w:r w:rsidR="00064749" w:rsidRPr="00AD74C2">
        <w:rPr>
          <w:rFonts w:ascii="Arial" w:hAnsi="Arial" w:cs="Arial"/>
          <w:b/>
          <w:bCs/>
          <w:sz w:val="28"/>
          <w:szCs w:val="28"/>
          <w:lang w:val="en" w:eastAsia="en-GB"/>
        </w:rPr>
        <w:t>osts</w:t>
      </w:r>
    </w:p>
    <w:p w:rsidR="0088447A" w:rsidRDefault="0088447A" w:rsidP="0088447A">
      <w:pPr>
        <w:spacing w:after="120"/>
        <w:contextualSpacing/>
        <w:jc w:val="both"/>
        <w:outlineLvl w:val="2"/>
        <w:rPr>
          <w:rFonts w:ascii="Arial" w:hAnsi="Arial" w:cs="Arial"/>
          <w:b/>
          <w:bCs/>
          <w:sz w:val="28"/>
          <w:szCs w:val="28"/>
          <w:lang w:val="en" w:eastAsia="en-GB"/>
        </w:rPr>
      </w:pPr>
    </w:p>
    <w:p w:rsidR="00064749" w:rsidRDefault="00064749" w:rsidP="0088447A">
      <w:pPr>
        <w:spacing w:after="120"/>
        <w:contextualSpacing/>
        <w:jc w:val="both"/>
        <w:rPr>
          <w:rFonts w:ascii="Arial" w:hAnsi="Arial" w:cs="Arial"/>
          <w:lang w:val="en" w:eastAsia="en-GB"/>
        </w:rPr>
      </w:pPr>
      <w:r w:rsidRPr="00A65BEB">
        <w:rPr>
          <w:rFonts w:ascii="Arial" w:hAnsi="Arial" w:cs="Arial"/>
          <w:lang w:val="en" w:eastAsia="en-GB"/>
        </w:rPr>
        <w:t>Costs</w:t>
      </w:r>
      <w:r w:rsidR="004A64A0">
        <w:rPr>
          <w:rFonts w:ascii="Arial" w:hAnsi="Arial" w:cs="Arial"/>
          <w:lang w:val="en" w:eastAsia="en-GB"/>
        </w:rPr>
        <w:t xml:space="preserve"> </w:t>
      </w:r>
      <w:r w:rsidRPr="00A65BEB">
        <w:rPr>
          <w:rFonts w:ascii="Arial" w:hAnsi="Arial" w:cs="Arial"/>
          <w:lang w:val="en" w:eastAsia="en-GB"/>
        </w:rPr>
        <w:t xml:space="preserve">are: </w:t>
      </w:r>
    </w:p>
    <w:p w:rsidR="0088447A" w:rsidRPr="00A65BEB" w:rsidRDefault="0088447A" w:rsidP="0088447A">
      <w:pPr>
        <w:spacing w:after="120"/>
        <w:contextualSpacing/>
        <w:jc w:val="both"/>
        <w:rPr>
          <w:rFonts w:ascii="Arial" w:hAnsi="Arial" w:cs="Arial"/>
          <w:lang w:val="en"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4508"/>
      </w:tblGrid>
      <w:tr w:rsidR="00657491" w:rsidRPr="00A65BEB" w:rsidTr="00657491">
        <w:tc>
          <w:tcPr>
            <w:tcW w:w="2296" w:type="dxa"/>
            <w:shd w:val="clear" w:color="auto" w:fill="auto"/>
          </w:tcPr>
          <w:p w:rsidR="00657491" w:rsidRPr="00A65BEB" w:rsidRDefault="00657491" w:rsidP="0088447A">
            <w:pPr>
              <w:pStyle w:val="NormalWeb"/>
              <w:spacing w:before="0" w:beforeAutospacing="0" w:after="120" w:afterAutospacing="0"/>
              <w:contextualSpacing/>
            </w:pPr>
            <w:r>
              <w:t xml:space="preserve">A4 </w:t>
            </w:r>
            <w:r w:rsidRPr="00A65BEB">
              <w:t>copies</w:t>
            </w:r>
          </w:p>
        </w:tc>
        <w:tc>
          <w:tcPr>
            <w:tcW w:w="4508" w:type="dxa"/>
          </w:tcPr>
          <w:p w:rsidR="00657491" w:rsidRDefault="00657491" w:rsidP="0088447A">
            <w:pPr>
              <w:pStyle w:val="NormalWeb"/>
              <w:spacing w:before="0" w:beforeAutospacing="0" w:after="120" w:afterAutospacing="0"/>
              <w:contextualSpacing/>
            </w:pPr>
            <w:r>
              <w:t xml:space="preserve">Black and White - 10p per page </w:t>
            </w:r>
          </w:p>
        </w:tc>
      </w:tr>
      <w:tr w:rsidR="00657491" w:rsidRPr="00A65BEB" w:rsidTr="00657491">
        <w:tc>
          <w:tcPr>
            <w:tcW w:w="2296" w:type="dxa"/>
            <w:shd w:val="clear" w:color="auto" w:fill="auto"/>
          </w:tcPr>
          <w:p w:rsidR="00657491" w:rsidRDefault="00657491" w:rsidP="0088447A">
            <w:pPr>
              <w:pStyle w:val="NormalWeb"/>
              <w:spacing w:before="0" w:beforeAutospacing="0" w:after="120" w:afterAutospacing="0"/>
              <w:contextualSpacing/>
            </w:pPr>
            <w:r>
              <w:t>A4 copies</w:t>
            </w:r>
          </w:p>
        </w:tc>
        <w:tc>
          <w:tcPr>
            <w:tcW w:w="4508" w:type="dxa"/>
          </w:tcPr>
          <w:p w:rsidR="00657491" w:rsidRDefault="00657491" w:rsidP="0088447A">
            <w:pPr>
              <w:pStyle w:val="NormalWeb"/>
              <w:spacing w:before="0" w:beforeAutospacing="0" w:after="120" w:afterAutospacing="0"/>
              <w:contextualSpacing/>
            </w:pPr>
            <w:r>
              <w:t>Colour – 20p per page</w:t>
            </w:r>
          </w:p>
        </w:tc>
      </w:tr>
      <w:tr w:rsidR="00657491" w:rsidRPr="00A65BEB" w:rsidTr="00657491">
        <w:tc>
          <w:tcPr>
            <w:tcW w:w="2296" w:type="dxa"/>
            <w:shd w:val="clear" w:color="auto" w:fill="auto"/>
          </w:tcPr>
          <w:p w:rsidR="00657491" w:rsidRPr="00A65BEB" w:rsidRDefault="00657491" w:rsidP="0088447A">
            <w:pPr>
              <w:pStyle w:val="NormalWeb"/>
              <w:spacing w:before="0" w:beforeAutospacing="0" w:after="120" w:afterAutospacing="0"/>
              <w:contextualSpacing/>
            </w:pPr>
            <w:r>
              <w:t>A3</w:t>
            </w:r>
          </w:p>
        </w:tc>
        <w:tc>
          <w:tcPr>
            <w:tcW w:w="4508" w:type="dxa"/>
          </w:tcPr>
          <w:p w:rsidR="00657491" w:rsidRDefault="00657491" w:rsidP="0088447A">
            <w:pPr>
              <w:pStyle w:val="NormalWeb"/>
              <w:spacing w:before="0" w:beforeAutospacing="0" w:after="120" w:afterAutospacing="0"/>
              <w:contextualSpacing/>
            </w:pPr>
            <w:r>
              <w:t>Black and White - 20p per page</w:t>
            </w:r>
          </w:p>
        </w:tc>
      </w:tr>
      <w:tr w:rsidR="00ED249F" w:rsidRPr="00A65BEB" w:rsidTr="00657491">
        <w:tc>
          <w:tcPr>
            <w:tcW w:w="2296" w:type="dxa"/>
            <w:shd w:val="clear" w:color="auto" w:fill="auto"/>
          </w:tcPr>
          <w:p w:rsidR="00ED249F" w:rsidRPr="00C32512" w:rsidRDefault="00ED249F" w:rsidP="0088447A">
            <w:pPr>
              <w:pStyle w:val="NormalWeb"/>
              <w:spacing w:before="0" w:beforeAutospacing="0" w:after="120" w:afterAutospacing="0"/>
              <w:contextualSpacing/>
              <w:rPr>
                <w:highlight w:val="yellow"/>
              </w:rPr>
            </w:pPr>
            <w:r w:rsidRPr="00C32512">
              <w:rPr>
                <w:highlight w:val="yellow"/>
              </w:rPr>
              <w:t>A2</w:t>
            </w:r>
            <w:r w:rsidR="00A048B4">
              <w:rPr>
                <w:highlight w:val="yellow"/>
              </w:rPr>
              <w:t xml:space="preserve"> / A1 / A0</w:t>
            </w:r>
          </w:p>
        </w:tc>
        <w:tc>
          <w:tcPr>
            <w:tcW w:w="4508" w:type="dxa"/>
          </w:tcPr>
          <w:p w:rsidR="00ED249F" w:rsidRPr="00C32512" w:rsidRDefault="00ED249F" w:rsidP="0088447A">
            <w:pPr>
              <w:pStyle w:val="NormalWeb"/>
              <w:spacing w:before="0" w:beforeAutospacing="0" w:after="120" w:afterAutospacing="0"/>
              <w:contextualSpacing/>
              <w:rPr>
                <w:highlight w:val="yellow"/>
              </w:rPr>
            </w:pPr>
            <w:r w:rsidRPr="00C32512">
              <w:rPr>
                <w:highlight w:val="yellow"/>
              </w:rPr>
              <w:t>£</w:t>
            </w:r>
            <w:r w:rsidR="00A048B4">
              <w:rPr>
                <w:highlight w:val="yellow"/>
              </w:rPr>
              <w:t>5</w:t>
            </w:r>
            <w:r w:rsidRPr="00C32512">
              <w:rPr>
                <w:highlight w:val="yellow"/>
              </w:rPr>
              <w:t xml:space="preserve"> per page </w:t>
            </w:r>
          </w:p>
        </w:tc>
      </w:tr>
      <w:tr w:rsidR="00657491" w:rsidRPr="00A65BEB" w:rsidTr="00657491">
        <w:tc>
          <w:tcPr>
            <w:tcW w:w="2296" w:type="dxa"/>
            <w:shd w:val="clear" w:color="auto" w:fill="auto"/>
          </w:tcPr>
          <w:p w:rsidR="00657491" w:rsidRDefault="00657491" w:rsidP="0088447A">
            <w:pPr>
              <w:pStyle w:val="NormalWeb"/>
              <w:spacing w:before="0" w:beforeAutospacing="0" w:after="120" w:afterAutospacing="0"/>
              <w:contextualSpacing/>
            </w:pPr>
            <w:r>
              <w:t>Post and Packing</w:t>
            </w:r>
          </w:p>
        </w:tc>
        <w:tc>
          <w:tcPr>
            <w:tcW w:w="4508" w:type="dxa"/>
          </w:tcPr>
          <w:p w:rsidR="00657491" w:rsidRDefault="00657491" w:rsidP="0088447A">
            <w:pPr>
              <w:pStyle w:val="NormalWeb"/>
              <w:spacing w:before="0" w:beforeAutospacing="0" w:after="120" w:afterAutospacing="0"/>
              <w:contextualSpacing/>
            </w:pPr>
            <w:r>
              <w:t>At cost</w:t>
            </w:r>
          </w:p>
        </w:tc>
      </w:tr>
      <w:tr w:rsidR="00657491" w:rsidRPr="00A65BEB" w:rsidTr="00657491">
        <w:tc>
          <w:tcPr>
            <w:tcW w:w="2296" w:type="dxa"/>
            <w:tcBorders>
              <w:top w:val="single" w:sz="4" w:space="0" w:color="auto"/>
              <w:left w:val="single" w:sz="4" w:space="0" w:color="auto"/>
              <w:bottom w:val="single" w:sz="4" w:space="0" w:color="auto"/>
              <w:right w:val="single" w:sz="4" w:space="0" w:color="auto"/>
            </w:tcBorders>
            <w:shd w:val="clear" w:color="auto" w:fill="auto"/>
          </w:tcPr>
          <w:p w:rsidR="00657491" w:rsidRDefault="00657491" w:rsidP="0088447A">
            <w:pPr>
              <w:pStyle w:val="NormalWeb"/>
              <w:spacing w:before="0" w:beforeAutospacing="0" w:after="120" w:afterAutospacing="0"/>
              <w:contextualSpacing/>
            </w:pPr>
            <w:r>
              <w:t>Minimum Charge</w:t>
            </w:r>
          </w:p>
        </w:tc>
        <w:tc>
          <w:tcPr>
            <w:tcW w:w="4508" w:type="dxa"/>
            <w:tcBorders>
              <w:top w:val="single" w:sz="4" w:space="0" w:color="auto"/>
              <w:left w:val="single" w:sz="4" w:space="0" w:color="auto"/>
              <w:bottom w:val="single" w:sz="4" w:space="0" w:color="auto"/>
              <w:right w:val="single" w:sz="4" w:space="0" w:color="auto"/>
            </w:tcBorders>
          </w:tcPr>
          <w:p w:rsidR="00657491" w:rsidRDefault="00657491" w:rsidP="0088447A">
            <w:pPr>
              <w:pStyle w:val="NormalWeb"/>
              <w:spacing w:before="0" w:beforeAutospacing="0" w:after="120" w:afterAutospacing="0"/>
              <w:contextualSpacing/>
            </w:pPr>
            <w:r>
              <w:t>£2.00</w:t>
            </w:r>
          </w:p>
        </w:tc>
      </w:tr>
    </w:tbl>
    <w:p w:rsidR="002577BC" w:rsidRDefault="002577BC" w:rsidP="0088447A">
      <w:pPr>
        <w:pStyle w:val="BodyText"/>
        <w:tabs>
          <w:tab w:val="left" w:pos="2160"/>
        </w:tabs>
        <w:spacing w:before="0" w:after="120"/>
        <w:contextualSpacing/>
        <w:rPr>
          <w:rFonts w:cs="Arial"/>
          <w:sz w:val="24"/>
        </w:rPr>
      </w:pPr>
    </w:p>
    <w:p w:rsidR="00A048B4" w:rsidRDefault="00A048B4" w:rsidP="0088447A">
      <w:pPr>
        <w:pStyle w:val="BodyText"/>
        <w:tabs>
          <w:tab w:val="left" w:pos="2160"/>
        </w:tabs>
        <w:spacing w:before="0" w:after="120"/>
        <w:contextualSpacing/>
        <w:rPr>
          <w:rFonts w:cs="Arial"/>
          <w:sz w:val="24"/>
        </w:rPr>
      </w:pPr>
    </w:p>
    <w:p w:rsidR="00011B83" w:rsidRPr="00111DDC" w:rsidRDefault="00011B83" w:rsidP="0088447A">
      <w:pPr>
        <w:pStyle w:val="BodyText"/>
        <w:tabs>
          <w:tab w:val="left" w:pos="2160"/>
        </w:tabs>
        <w:spacing w:before="0" w:after="120"/>
        <w:contextualSpacing/>
        <w:rPr>
          <w:rFonts w:cs="Arial"/>
          <w:sz w:val="24"/>
        </w:rPr>
      </w:pPr>
      <w:r w:rsidRPr="00111DDC">
        <w:rPr>
          <w:rFonts w:cs="Arial"/>
          <w:sz w:val="24"/>
        </w:rPr>
        <w:t>In all the above cases, VAT is not payable.</w:t>
      </w:r>
    </w:p>
    <w:p w:rsidR="0088447A" w:rsidRDefault="0088447A" w:rsidP="0088447A">
      <w:pPr>
        <w:spacing w:after="120"/>
        <w:contextualSpacing/>
        <w:jc w:val="both"/>
        <w:outlineLvl w:val="2"/>
        <w:rPr>
          <w:rFonts w:ascii="Arial" w:hAnsi="Arial" w:cs="Arial"/>
          <w:b/>
          <w:bCs/>
          <w:sz w:val="28"/>
          <w:szCs w:val="28"/>
          <w:lang w:val="en" w:eastAsia="en-GB"/>
        </w:rPr>
      </w:pPr>
    </w:p>
    <w:p w:rsidR="00D02BA2" w:rsidRDefault="00D02BA2" w:rsidP="0088447A">
      <w:pPr>
        <w:spacing w:after="120"/>
        <w:contextualSpacing/>
        <w:jc w:val="both"/>
        <w:outlineLvl w:val="2"/>
        <w:rPr>
          <w:rFonts w:ascii="Arial" w:hAnsi="Arial" w:cs="Arial"/>
          <w:b/>
          <w:bCs/>
          <w:sz w:val="28"/>
          <w:szCs w:val="28"/>
          <w:lang w:val="en" w:eastAsia="en-GB"/>
        </w:rPr>
      </w:pPr>
      <w:r>
        <w:rPr>
          <w:rFonts w:ascii="Arial" w:hAnsi="Arial" w:cs="Arial"/>
          <w:b/>
          <w:bCs/>
          <w:sz w:val="28"/>
          <w:szCs w:val="28"/>
          <w:lang w:val="en" w:eastAsia="en-GB"/>
        </w:rPr>
        <w:t>Review of Charging P</w:t>
      </w:r>
      <w:r w:rsidR="00064749" w:rsidRPr="00AD74C2">
        <w:rPr>
          <w:rFonts w:ascii="Arial" w:hAnsi="Arial" w:cs="Arial"/>
          <w:b/>
          <w:bCs/>
          <w:sz w:val="28"/>
          <w:szCs w:val="28"/>
          <w:lang w:val="en" w:eastAsia="en-GB"/>
        </w:rPr>
        <w:t>olicy</w:t>
      </w:r>
    </w:p>
    <w:p w:rsidR="0088447A" w:rsidRDefault="0088447A" w:rsidP="0088447A">
      <w:pPr>
        <w:spacing w:after="120"/>
        <w:contextualSpacing/>
        <w:jc w:val="both"/>
        <w:rPr>
          <w:rFonts w:ascii="Arial" w:hAnsi="Arial" w:cs="Arial"/>
          <w:lang w:val="en" w:eastAsia="en-GB"/>
        </w:rPr>
      </w:pPr>
    </w:p>
    <w:p w:rsidR="00064749" w:rsidRDefault="00064749" w:rsidP="0088447A">
      <w:pPr>
        <w:spacing w:after="120"/>
        <w:contextualSpacing/>
        <w:jc w:val="both"/>
        <w:rPr>
          <w:rFonts w:ascii="Arial" w:hAnsi="Arial" w:cs="Arial"/>
          <w:lang w:val="en" w:eastAsia="en-GB"/>
        </w:rPr>
      </w:pPr>
      <w:r w:rsidRPr="00AD74C2">
        <w:rPr>
          <w:rFonts w:ascii="Arial" w:hAnsi="Arial" w:cs="Arial"/>
          <w:lang w:val="en" w:eastAsia="en-GB"/>
        </w:rPr>
        <w:t xml:space="preserve">This policy will be reviewed </w:t>
      </w:r>
      <w:r>
        <w:rPr>
          <w:rFonts w:ascii="Arial" w:hAnsi="Arial" w:cs="Arial"/>
          <w:lang w:val="en" w:eastAsia="en-GB"/>
        </w:rPr>
        <w:t xml:space="preserve">regularly </w:t>
      </w:r>
      <w:r w:rsidR="00E15E96">
        <w:rPr>
          <w:rFonts w:ascii="Arial" w:hAnsi="Arial" w:cs="Arial"/>
          <w:lang w:val="en" w:eastAsia="en-GB"/>
        </w:rPr>
        <w:t xml:space="preserve">and </w:t>
      </w:r>
      <w:r w:rsidRPr="00AD74C2">
        <w:rPr>
          <w:rFonts w:ascii="Arial" w:hAnsi="Arial" w:cs="Arial"/>
          <w:lang w:val="en" w:eastAsia="en-GB"/>
        </w:rPr>
        <w:t>in conjunction with the review of the Publication Scheme.</w:t>
      </w:r>
    </w:p>
    <w:p w:rsidR="004B1624" w:rsidRDefault="004B1624" w:rsidP="0088447A">
      <w:pPr>
        <w:spacing w:after="120"/>
        <w:contextualSpacing/>
        <w:jc w:val="both"/>
        <w:rPr>
          <w:rFonts w:ascii="Arial" w:hAnsi="Arial" w:cs="Arial"/>
          <w:lang w:val="en" w:eastAsia="en-GB"/>
        </w:rPr>
      </w:pPr>
    </w:p>
    <w:p w:rsidR="004B1624" w:rsidRDefault="004B1624" w:rsidP="0088447A">
      <w:pPr>
        <w:spacing w:after="120"/>
        <w:contextualSpacing/>
        <w:jc w:val="both"/>
        <w:rPr>
          <w:rFonts w:ascii="Arial" w:hAnsi="Arial" w:cs="Arial"/>
          <w:lang w:val="en" w:eastAsia="en-GB"/>
        </w:rPr>
      </w:pPr>
    </w:p>
    <w:sectPr w:rsidR="004B1624">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466" w:rsidRDefault="00623466" w:rsidP="00D55561">
      <w:r>
        <w:separator/>
      </w:r>
    </w:p>
  </w:endnote>
  <w:endnote w:type="continuationSeparator" w:id="0">
    <w:p w:rsidR="00623466" w:rsidRDefault="00623466" w:rsidP="00D5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BA2" w:rsidRDefault="00D02BA2">
    <w:pPr>
      <w:pStyle w:val="Footer"/>
      <w:jc w:val="right"/>
    </w:pPr>
    <w:r>
      <w:t xml:space="preserve">Page | </w:t>
    </w:r>
    <w:r>
      <w:fldChar w:fldCharType="begin"/>
    </w:r>
    <w:r>
      <w:instrText xml:space="preserve"> PAGE   \* MERGEFORMAT </w:instrText>
    </w:r>
    <w:r>
      <w:fldChar w:fldCharType="separate"/>
    </w:r>
    <w:r w:rsidR="00943005">
      <w:rPr>
        <w:noProof/>
      </w:rPr>
      <w:t>2</w:t>
    </w:r>
    <w:r>
      <w:rPr>
        <w:noProof/>
      </w:rPr>
      <w:fldChar w:fldCharType="end"/>
    </w:r>
    <w:r>
      <w:t xml:space="preserve"> </w:t>
    </w:r>
  </w:p>
  <w:p w:rsidR="00D55561" w:rsidRDefault="00D55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466" w:rsidRDefault="00623466" w:rsidP="00D55561">
      <w:r>
        <w:separator/>
      </w:r>
    </w:p>
  </w:footnote>
  <w:footnote w:type="continuationSeparator" w:id="0">
    <w:p w:rsidR="00623466" w:rsidRDefault="00623466" w:rsidP="00D55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DB8"/>
    <w:multiLevelType w:val="multilevel"/>
    <w:tmpl w:val="D99A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B380B"/>
    <w:multiLevelType w:val="multilevel"/>
    <w:tmpl w:val="9E48DB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1A86324B"/>
    <w:multiLevelType w:val="multilevel"/>
    <w:tmpl w:val="51BC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E2E44"/>
    <w:multiLevelType w:val="multilevel"/>
    <w:tmpl w:val="38C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470CB"/>
    <w:multiLevelType w:val="hybridMultilevel"/>
    <w:tmpl w:val="F26A5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5B6D06"/>
    <w:multiLevelType w:val="multilevel"/>
    <w:tmpl w:val="A774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367F5"/>
    <w:multiLevelType w:val="hybridMultilevel"/>
    <w:tmpl w:val="CACC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02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B0403DC"/>
    <w:multiLevelType w:val="multilevel"/>
    <w:tmpl w:val="96B4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80D48"/>
    <w:multiLevelType w:val="multilevel"/>
    <w:tmpl w:val="854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03F34"/>
    <w:multiLevelType w:val="hybridMultilevel"/>
    <w:tmpl w:val="BFC69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CE720DE"/>
    <w:multiLevelType w:val="multilevel"/>
    <w:tmpl w:val="2A6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800459"/>
    <w:multiLevelType w:val="hybridMultilevel"/>
    <w:tmpl w:val="E11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8"/>
  </w:num>
  <w:num w:numId="5">
    <w:abstractNumId w:val="2"/>
  </w:num>
  <w:num w:numId="6">
    <w:abstractNumId w:val="9"/>
  </w:num>
  <w:num w:numId="7">
    <w:abstractNumId w:val="11"/>
  </w:num>
  <w:num w:numId="8">
    <w:abstractNumId w:val="5"/>
  </w:num>
  <w:num w:numId="9">
    <w:abstractNumId w:val="3"/>
  </w:num>
  <w:num w:numId="10">
    <w:abstractNumId w:val="10"/>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35"/>
    <w:rsid w:val="00011B83"/>
    <w:rsid w:val="00040734"/>
    <w:rsid w:val="00064749"/>
    <w:rsid w:val="00142CFE"/>
    <w:rsid w:val="001E4DC4"/>
    <w:rsid w:val="002577BC"/>
    <w:rsid w:val="0027201C"/>
    <w:rsid w:val="002823FB"/>
    <w:rsid w:val="00287A80"/>
    <w:rsid w:val="00342CC1"/>
    <w:rsid w:val="00354C05"/>
    <w:rsid w:val="00390108"/>
    <w:rsid w:val="003D2510"/>
    <w:rsid w:val="0042591D"/>
    <w:rsid w:val="004A64A0"/>
    <w:rsid w:val="004B1624"/>
    <w:rsid w:val="00513015"/>
    <w:rsid w:val="00550B21"/>
    <w:rsid w:val="00594FF1"/>
    <w:rsid w:val="005F76F7"/>
    <w:rsid w:val="005F78E6"/>
    <w:rsid w:val="00623466"/>
    <w:rsid w:val="00647990"/>
    <w:rsid w:val="00657491"/>
    <w:rsid w:val="00681B43"/>
    <w:rsid w:val="006D46F2"/>
    <w:rsid w:val="00703570"/>
    <w:rsid w:val="0072592B"/>
    <w:rsid w:val="007C7738"/>
    <w:rsid w:val="007C7E2C"/>
    <w:rsid w:val="007E0330"/>
    <w:rsid w:val="0088447A"/>
    <w:rsid w:val="008B34D8"/>
    <w:rsid w:val="008C4FC5"/>
    <w:rsid w:val="00906C60"/>
    <w:rsid w:val="00943005"/>
    <w:rsid w:val="009905EB"/>
    <w:rsid w:val="00A025EB"/>
    <w:rsid w:val="00A048B4"/>
    <w:rsid w:val="00A802A1"/>
    <w:rsid w:val="00AA374C"/>
    <w:rsid w:val="00AC0F06"/>
    <w:rsid w:val="00B37B54"/>
    <w:rsid w:val="00B67A43"/>
    <w:rsid w:val="00BC473E"/>
    <w:rsid w:val="00C32512"/>
    <w:rsid w:val="00C3779D"/>
    <w:rsid w:val="00C4235D"/>
    <w:rsid w:val="00C52B3D"/>
    <w:rsid w:val="00CF62D3"/>
    <w:rsid w:val="00D02BA2"/>
    <w:rsid w:val="00D55561"/>
    <w:rsid w:val="00D844AE"/>
    <w:rsid w:val="00D858E5"/>
    <w:rsid w:val="00DD0435"/>
    <w:rsid w:val="00E15E96"/>
    <w:rsid w:val="00E339E2"/>
    <w:rsid w:val="00ED249F"/>
    <w:rsid w:val="00EF46BC"/>
    <w:rsid w:val="00F91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BCAD8A3B-6480-470C-ACA2-A15C7FA8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435"/>
    <w:rPr>
      <w:sz w:val="24"/>
      <w:szCs w:val="24"/>
      <w:lang w:eastAsia="en-US"/>
    </w:rPr>
  </w:style>
  <w:style w:type="paragraph" w:styleId="Heading1">
    <w:name w:val="heading 1"/>
    <w:basedOn w:val="Normal"/>
    <w:next w:val="Normal"/>
    <w:qFormat/>
    <w:rsid w:val="00DD0435"/>
    <w:pPr>
      <w:keepNext/>
      <w:autoSpaceDE w:val="0"/>
      <w:autoSpaceDN w:val="0"/>
      <w:adjustRightInd w:val="0"/>
      <w:outlineLvl w:val="0"/>
    </w:pPr>
    <w:rPr>
      <w:rFonts w:ascii="Arial" w:hAnsi="Arial" w:cs="Arial"/>
      <w:b/>
      <w:bCs/>
    </w:rPr>
  </w:style>
  <w:style w:type="paragraph" w:styleId="Heading2">
    <w:name w:val="heading 2"/>
    <w:basedOn w:val="Normal"/>
    <w:next w:val="Normal"/>
    <w:qFormat/>
    <w:rsid w:val="00DD0435"/>
    <w:pPr>
      <w:keepNext/>
      <w:autoSpaceDE w:val="0"/>
      <w:autoSpaceDN w:val="0"/>
      <w:adjustRightInd w:val="0"/>
      <w:outlineLvl w:val="1"/>
    </w:pPr>
    <w:rPr>
      <w:rFonts w:ascii="Arial" w:hAnsi="Arial" w:cs="Arial"/>
      <w:b/>
      <w:bCs/>
      <w:i/>
      <w:iCs/>
    </w:rPr>
  </w:style>
  <w:style w:type="paragraph" w:styleId="Heading3">
    <w:name w:val="heading 3"/>
    <w:basedOn w:val="Normal"/>
    <w:next w:val="Normal"/>
    <w:link w:val="Heading3Char"/>
    <w:semiHidden/>
    <w:unhideWhenUsed/>
    <w:qFormat/>
    <w:rsid w:val="004259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0435"/>
    <w:pPr>
      <w:spacing w:before="100" w:beforeAutospacing="1" w:after="100" w:afterAutospacing="1"/>
      <w:jc w:val="both"/>
    </w:pPr>
    <w:rPr>
      <w:rFonts w:ascii="Arial" w:eastAsia="Arial Unicode MS" w:hAnsi="Arial" w:cs="Arial"/>
    </w:rPr>
  </w:style>
  <w:style w:type="paragraph" w:styleId="BodyText">
    <w:name w:val="Body Text"/>
    <w:basedOn w:val="Normal"/>
    <w:rsid w:val="00DD0435"/>
    <w:pPr>
      <w:spacing w:before="100" w:after="100"/>
      <w:jc w:val="both"/>
    </w:pPr>
    <w:rPr>
      <w:rFonts w:ascii="Arial" w:hAnsi="Arial"/>
      <w:sz w:val="22"/>
    </w:rPr>
  </w:style>
  <w:style w:type="paragraph" w:styleId="BodyTextIndent">
    <w:name w:val="Body Text Indent"/>
    <w:basedOn w:val="Normal"/>
    <w:rsid w:val="00DD0435"/>
    <w:pPr>
      <w:ind w:left="2160" w:hanging="2160"/>
    </w:pPr>
    <w:rPr>
      <w:rFonts w:ascii="Arial" w:hAnsi="Arial" w:cs="Arial"/>
    </w:rPr>
  </w:style>
  <w:style w:type="table" w:styleId="TableGrid">
    <w:name w:val="Table Grid"/>
    <w:basedOn w:val="TableNormal"/>
    <w:uiPriority w:val="39"/>
    <w:rsid w:val="0035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339E2"/>
    <w:rPr>
      <w:rFonts w:ascii="Tahoma" w:hAnsi="Tahoma" w:cs="Tahoma"/>
      <w:sz w:val="16"/>
      <w:szCs w:val="16"/>
    </w:rPr>
  </w:style>
  <w:style w:type="character" w:customStyle="1" w:styleId="BalloonTextChar">
    <w:name w:val="Balloon Text Char"/>
    <w:link w:val="BalloonText"/>
    <w:rsid w:val="00E339E2"/>
    <w:rPr>
      <w:rFonts w:ascii="Tahoma" w:hAnsi="Tahoma" w:cs="Tahoma"/>
      <w:sz w:val="16"/>
      <w:szCs w:val="16"/>
      <w:lang w:eastAsia="en-US"/>
    </w:rPr>
  </w:style>
  <w:style w:type="character" w:styleId="Hyperlink">
    <w:name w:val="Hyperlink"/>
    <w:uiPriority w:val="99"/>
    <w:unhideWhenUsed/>
    <w:rsid w:val="00064749"/>
    <w:rPr>
      <w:color w:val="0000FF"/>
      <w:u w:val="single"/>
    </w:rPr>
  </w:style>
  <w:style w:type="character" w:customStyle="1" w:styleId="Heading3Char">
    <w:name w:val="Heading 3 Char"/>
    <w:link w:val="Heading3"/>
    <w:semiHidden/>
    <w:rsid w:val="0042591D"/>
    <w:rPr>
      <w:rFonts w:ascii="Cambria" w:eastAsia="Times New Roman" w:hAnsi="Cambria" w:cs="Times New Roman"/>
      <w:b/>
      <w:bCs/>
      <w:sz w:val="26"/>
      <w:szCs w:val="26"/>
      <w:lang w:eastAsia="en-US"/>
    </w:rPr>
  </w:style>
  <w:style w:type="character" w:styleId="Strong">
    <w:name w:val="Strong"/>
    <w:uiPriority w:val="22"/>
    <w:qFormat/>
    <w:rsid w:val="0042591D"/>
    <w:rPr>
      <w:b/>
      <w:bCs/>
    </w:rPr>
  </w:style>
  <w:style w:type="paragraph" w:styleId="Header">
    <w:name w:val="header"/>
    <w:basedOn w:val="Normal"/>
    <w:link w:val="HeaderChar"/>
    <w:rsid w:val="00D55561"/>
    <w:pPr>
      <w:tabs>
        <w:tab w:val="center" w:pos="4513"/>
        <w:tab w:val="right" w:pos="9026"/>
      </w:tabs>
    </w:pPr>
  </w:style>
  <w:style w:type="character" w:customStyle="1" w:styleId="HeaderChar">
    <w:name w:val="Header Char"/>
    <w:link w:val="Header"/>
    <w:rsid w:val="00D55561"/>
    <w:rPr>
      <w:sz w:val="24"/>
      <w:szCs w:val="24"/>
      <w:lang w:eastAsia="en-US"/>
    </w:rPr>
  </w:style>
  <w:style w:type="paragraph" w:styleId="Footer">
    <w:name w:val="footer"/>
    <w:basedOn w:val="Normal"/>
    <w:link w:val="FooterChar"/>
    <w:uiPriority w:val="99"/>
    <w:rsid w:val="00D55561"/>
    <w:pPr>
      <w:tabs>
        <w:tab w:val="center" w:pos="4513"/>
        <w:tab w:val="right" w:pos="9026"/>
      </w:tabs>
    </w:pPr>
  </w:style>
  <w:style w:type="character" w:customStyle="1" w:styleId="FooterChar">
    <w:name w:val="Footer Char"/>
    <w:link w:val="Footer"/>
    <w:uiPriority w:val="99"/>
    <w:rsid w:val="00D55561"/>
    <w:rPr>
      <w:sz w:val="24"/>
      <w:szCs w:val="24"/>
      <w:lang w:eastAsia="en-US"/>
    </w:rPr>
  </w:style>
  <w:style w:type="paragraph" w:styleId="ListParagraph">
    <w:name w:val="List Paragraph"/>
    <w:basedOn w:val="Normal"/>
    <w:uiPriority w:val="34"/>
    <w:qFormat/>
    <w:rsid w:val="004B1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2095">
      <w:bodyDiv w:val="1"/>
      <w:marLeft w:val="0"/>
      <w:marRight w:val="0"/>
      <w:marTop w:val="0"/>
      <w:marBottom w:val="0"/>
      <w:divBdr>
        <w:top w:val="none" w:sz="0" w:space="0" w:color="auto"/>
        <w:left w:val="none" w:sz="0" w:space="0" w:color="auto"/>
        <w:bottom w:val="none" w:sz="0" w:space="0" w:color="auto"/>
        <w:right w:val="none" w:sz="0" w:space="0" w:color="auto"/>
      </w:divBdr>
    </w:div>
    <w:div w:id="523786154">
      <w:bodyDiv w:val="1"/>
      <w:marLeft w:val="0"/>
      <w:marRight w:val="0"/>
      <w:marTop w:val="0"/>
      <w:marBottom w:val="0"/>
      <w:divBdr>
        <w:top w:val="none" w:sz="0" w:space="0" w:color="auto"/>
        <w:left w:val="none" w:sz="0" w:space="0" w:color="auto"/>
        <w:bottom w:val="none" w:sz="0" w:space="0" w:color="auto"/>
        <w:right w:val="none" w:sz="0" w:space="0" w:color="auto"/>
      </w:divBdr>
    </w:div>
    <w:div w:id="20212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2C2CC-CC3E-4B82-86CD-F124B34B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beattiee</dc:creator>
  <cp:lastModifiedBy>Linda McKee</cp:lastModifiedBy>
  <cp:revision>2</cp:revision>
  <cp:lastPrinted>2019-11-27T13:14:00Z</cp:lastPrinted>
  <dcterms:created xsi:type="dcterms:W3CDTF">2021-02-09T10:39:00Z</dcterms:created>
  <dcterms:modified xsi:type="dcterms:W3CDTF">2021-02-09T10:39:00Z</dcterms:modified>
</cp:coreProperties>
</file>